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20 — Modereren, argumenteren, overtuigen</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2 (CPSA-A) · Deel 20 van 28 · los aanbiedbaar</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b/>
          <w:bCs/>
          <w:color w:val="1F2937"/>
          <w:sz w:val="22"/>
          <w:szCs w:val="22"/>
        </w:rPr>
        <w:t xml:space="preserve">Dit deel is los aanbiedbaar </w:t>
      </w:r>
      <w:r>
        <w:rPr>
          <w:color w:val="1F2937"/>
          <w:sz w:val="22"/>
          <w:szCs w:val="22"/>
        </w:rPr>
        <w:t xml:space="preserve">en dat heeft twee gevolgen voor uw voorbereiding.</w:t>
      </w:r>
    </w:p>
    <w:p>
      <w:pPr>
        <w:spacing w:after="160" w:line="276"/>
      </w:pPr>
      <w:r>
        <w:rPr>
          <w:b/>
          <w:bCs/>
          <w:color w:val="1F2937"/>
          <w:sz w:val="22"/>
          <w:szCs w:val="22"/>
        </w:rPr>
        <w:t xml:space="preserve">Ten eerste: het publiek kan gemengd zijn.</w:t>
      </w:r>
      <w:r>
        <w:rPr>
          <w:color w:val="1F2937"/>
          <w:sz w:val="22"/>
          <w:szCs w:val="22"/>
        </w:rPr>
        <w:t xml:space="preserve"> Deelnemers die de hele reeks volgen zitten naast mensen die alleen dit dagdeel doen. De reader is daarop ingericht — waar naar de casus wordt verwezen, staat de context erbij — maar u moet het in de opening expliciet maken, anders voelt de tweede groep zich buitenstaander.</w:t>
      </w:r>
    </w:p>
    <w:p>
      <w:pPr>
        <w:spacing w:after="160" w:line="276"/>
      </w:pPr>
      <w:r>
        <w:rPr>
          <w:b/>
          <w:bCs/>
          <w:color w:val="1F2937"/>
          <w:sz w:val="22"/>
          <w:szCs w:val="22"/>
        </w:rPr>
        <w:t xml:space="preserve">Ten tweede: het wordt vaak los verkocht aan een andere doelgroep, </w:t>
      </w:r>
      <w:r>
        <w:rPr>
          <w:color w:val="1F2937"/>
          <w:sz w:val="22"/>
          <w:szCs w:val="22"/>
        </w:rPr>
        <w:t xml:space="preserve">bijvoorbeeld leadontwikkelaars of teamleads. Voor hen geldt hetzelfde materiaal; alleen de casusvoorbeelden landen minder. Vervang die in dat geval door voorbeelden uit hun eigen praktijk, die zij bij opdracht 20.4 en 20.7 toch al aandragen.</w:t>
      </w:r>
    </w:p>
    <w:p>
      <w:pPr>
        <w:spacing w:after="160" w:line="276"/>
      </w:pPr>
      <w:r>
        <w:rPr>
          <w:b/>
          <w:bCs/>
          <w:color w:val="1F2937"/>
          <w:sz w:val="22"/>
          <w:szCs w:val="22"/>
        </w:rPr>
        <w:t xml:space="preserve">Het inhoudelijke risico van dit deel is dat het zacht wordt.</w:t>
      </w:r>
      <w:r>
        <w:rPr>
          <w:color w:val="1F2937"/>
          <w:sz w:val="22"/>
          <w:szCs w:val="22"/>
        </w:rPr>
        <w:t xml:space="preserve"> Technische deelnemers verwachten dat, en zij hebben gelijk zodra u afdrijft naar algemene gespreksvaardigheden. Wat het scherp houdt zijn drie dingen:</w:t>
      </w:r>
    </w:p>
    <w:p>
      <w:pPr>
        <w:pStyle w:val="ListParagraph"/>
        <w:numPr>
          <w:ilvl w:val="0"/>
          <w:numId w:val="2"/>
        </w:numPr>
        <w:spacing w:after="120"/>
      </w:pPr>
      <w:r>
        <w:rPr>
          <w:b/>
          <w:bCs/>
          <w:color w:val="1F2937"/>
          <w:sz w:val="22"/>
          <w:szCs w:val="22"/>
        </w:rPr>
        <w:t xml:space="preserve">De diagnose per situatie</w:t>
      </w:r>
      <w:r>
        <w:rPr>
          <w:color w:val="1F2937"/>
          <w:sz w:val="22"/>
          <w:szCs w:val="22"/>
        </w:rPr>
        <w:t xml:space="preserve"> (paragraaf 20.1). Elke situatie heeft een oorzaak die benoembaar is — geen criterium, een verhuld bezwaar, onduidelijk mandaat. Dat is analyse, geen aanvoelen.</w:t>
      </w:r>
    </w:p>
    <w:p>
      <w:pPr>
        <w:pStyle w:val="ListParagraph"/>
        <w:numPr>
          <w:ilvl w:val="0"/>
          <w:numId w:val="2"/>
        </w:numPr>
        <w:spacing w:after="120"/>
      </w:pPr>
      <w:r>
        <w:rPr>
          <w:b/>
          <w:bCs/>
          <w:color w:val="1F2937"/>
          <w:sz w:val="22"/>
          <w:szCs w:val="22"/>
        </w:rPr>
        <w:t xml:space="preserve">De argumentatiestructuur</w:t>
      </w:r>
      <w:r>
        <w:rPr>
          <w:color w:val="1F2937"/>
          <w:sz w:val="22"/>
          <w:szCs w:val="22"/>
        </w:rPr>
        <w:t xml:space="preserve"> (paragraaf 20.4). Bewering-grond-verbinding is een technische vaardigheid en zij wordt zo ontvangen.</w:t>
      </w:r>
    </w:p>
    <w:p>
      <w:pPr>
        <w:pStyle w:val="ListParagraph"/>
        <w:numPr>
          <w:ilvl w:val="0"/>
          <w:numId w:val="2"/>
        </w:numPr>
        <w:spacing w:after="120"/>
      </w:pPr>
      <w:r>
        <w:rPr>
          <w:b/>
          <w:bCs/>
          <w:color w:val="1F2937"/>
          <w:sz w:val="22"/>
          <w:szCs w:val="22"/>
        </w:rPr>
        <w:t xml:space="preserve">De rollenspelen.</w:t>
      </w:r>
      <w:r>
        <w:rPr>
          <w:color w:val="1F2937"/>
          <w:sz w:val="22"/>
          <w:szCs w:val="22"/>
        </w:rPr>
        <w:t xml:space="preserve"> Dit deel bestaat voor de helft uit oefenen. Wie er een luisterdagdeel van maakt, levert niets af.</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300"/>
        <w:gridCol w:w="2300"/>
        <w:gridCol w:w="15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5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0:00–0:10</w:t>
            </w:r>
          </w:p>
        </w:tc>
        <w:tc>
          <w:tcPr>
            <w:tcW w:type="dxa" w:w="4300"/>
            <w:tcMar>
              <w:top w:type="dxa" w:w="100"/>
              <w:left w:type="dxa" w:w="120"/>
              <w:bottom w:type="dxa" w:w="100"/>
              <w:right w:type="dxa" w:w="120"/>
            </w:tcMar>
            <w:vAlign w:val="center"/>
          </w:tcPr>
          <w:p>
            <w:r>
              <w:rPr>
                <w:b w:val="false"/>
                <w:bCs w:val="false"/>
                <w:color w:val="1F2937"/>
                <w:sz w:val="19"/>
                <w:szCs w:val="19"/>
              </w:rPr>
              <w:t xml:space="preserve">Positionering; de vier situaties met hun diagnose</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0:10–0:35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20.1 — de vastgelopen discussie ontleden</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0:35–0:50</w:t>
            </w:r>
          </w:p>
        </w:tc>
        <w:tc>
          <w:tcPr>
            <w:tcW w:type="dxa" w:w="4300"/>
            <w:tcMar>
              <w:top w:type="dxa" w:w="100"/>
              <w:left w:type="dxa" w:w="120"/>
              <w:bottom w:type="dxa" w:w="100"/>
              <w:right w:type="dxa" w:w="120"/>
            </w:tcMar>
            <w:vAlign w:val="center"/>
          </w:tcPr>
          <w:p>
            <w:r>
              <w:rPr>
                <w:b w:val="false"/>
                <w:bCs w:val="false"/>
                <w:color w:val="1F2937"/>
                <w:sz w:val="19"/>
                <w:szCs w:val="19"/>
              </w:rPr>
              <w:t xml:space="preserve">Modereren: de rolkeuze en de vier interventies</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7–10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0:50–1:00</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1:00–1:40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20.2 — modereren, twee rondes</w:t>
            </w:r>
          </w:p>
        </w:tc>
        <w:tc>
          <w:tcPr>
            <w:tcW w:type="dxa" w:w="2300"/>
            <w:tcMar>
              <w:top w:type="dxa" w:w="100"/>
              <w:left w:type="dxa" w:w="120"/>
              <w:bottom w:type="dxa" w:w="100"/>
              <w:right w:type="dxa" w:w="120"/>
            </w:tcMar>
            <w:vAlign w:val="center"/>
          </w:tcPr>
          <w:p>
            <w:r>
              <w:rPr>
                <w:b w:val="false"/>
                <w:bCs w:val="false"/>
                <w:color w:val="1F2937"/>
                <w:sz w:val="19"/>
                <w:szCs w:val="19"/>
              </w:rPr>
              <w:t xml:space="preserve">rollenspel</w:t>
            </w:r>
          </w:p>
        </w:tc>
        <w:tc>
          <w:tcPr>
            <w:tcW w:type="dxa" w:w="1538"/>
            <w:tcMar>
              <w:top w:type="dxa" w:w="100"/>
              <w:left w:type="dxa" w:w="120"/>
              <w:bottom w:type="dxa" w:w="100"/>
              <w:right w:type="dxa" w:w="120"/>
            </w:tcMar>
            <w:vAlign w:val="center"/>
          </w:tcPr>
          <w:p>
            <w:r>
              <w:rPr>
                <w:b w:val="false"/>
                <w:bCs w:val="false"/>
                <w:color w:val="1F2937"/>
                <w:sz w:val="19"/>
                <w:szCs w:val="19"/>
              </w:rPr>
              <w:t xml:space="preserve">11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1:40–2:00</w:t>
            </w:r>
          </w:p>
        </w:tc>
        <w:tc>
          <w:tcPr>
            <w:tcW w:type="dxa" w:w="4300"/>
            <w:tcMar>
              <w:top w:type="dxa" w:w="100"/>
              <w:left w:type="dxa" w:w="120"/>
              <w:bottom w:type="dxa" w:w="100"/>
              <w:right w:type="dxa" w:w="120"/>
            </w:tcMar>
            <w:vAlign w:val="center"/>
          </w:tcPr>
          <w:p>
            <w:r>
              <w:rPr>
                <w:b w:val="false"/>
                <w:bCs w:val="false"/>
                <w:color w:val="1F2937"/>
                <w:sz w:val="19"/>
                <w:szCs w:val="19"/>
              </w:rPr>
              <w:t xml:space="preserve">Het verhulde meningsverschil</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12–16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2:00–2:20</w:t>
            </w:r>
          </w:p>
        </w:tc>
        <w:tc>
          <w:tcPr>
            <w:tcW w:type="dxa" w:w="4300"/>
            <w:tcMar>
              <w:top w:type="dxa" w:w="100"/>
              <w:left w:type="dxa" w:w="120"/>
              <w:bottom w:type="dxa" w:w="100"/>
              <w:right w:type="dxa" w:w="120"/>
            </w:tcMar>
            <w:vAlign w:val="center"/>
          </w:tcPr>
          <w:p>
            <w:r>
              <w:rPr>
                <w:b w:val="false"/>
                <w:bCs w:val="false"/>
                <w:color w:val="1F2937"/>
                <w:sz w:val="19"/>
                <w:szCs w:val="19"/>
              </w:rPr>
              <w:t xml:space="preserve">Argumenteren: drie delen, gronden, drogredenen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17–21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2:20–2:30</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2:30–2:55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20.4 — uw eigen argument herschrijven</w:t>
            </w:r>
          </w:p>
        </w:tc>
        <w:tc>
          <w:tcPr>
            <w:tcW w:type="dxa" w:w="2300"/>
            <w:tcMar>
              <w:top w:type="dxa" w:w="100"/>
              <w:left w:type="dxa" w:w="120"/>
              <w:bottom w:type="dxa" w:w="100"/>
              <w:right w:type="dxa" w:w="120"/>
            </w:tcMar>
            <w:vAlign w:val="center"/>
          </w:tcPr>
          <w:p>
            <w:r>
              <w:rPr>
                <w:b w:val="false"/>
                <w:bCs w:val="false"/>
                <w:color w:val="1F2937"/>
                <w:sz w:val="19"/>
                <w:szCs w:val="19"/>
              </w:rPr>
              <w:t xml:space="preserve">duo's</w:t>
            </w:r>
          </w:p>
        </w:tc>
        <w:tc>
          <w:tcPr>
            <w:tcW w:type="dxa" w:w="1538"/>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2:55–3:30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20.5 — weerstand</w:t>
            </w:r>
          </w:p>
        </w:tc>
        <w:tc>
          <w:tcPr>
            <w:tcW w:type="dxa" w:w="2300"/>
            <w:tcMar>
              <w:top w:type="dxa" w:w="100"/>
              <w:left w:type="dxa" w:w="120"/>
              <w:bottom w:type="dxa" w:w="100"/>
              <w:right w:type="dxa" w:w="120"/>
            </w:tcMar>
            <w:vAlign w:val="center"/>
          </w:tcPr>
          <w:p>
            <w:r>
              <w:rPr>
                <w:b w:val="false"/>
                <w:bCs w:val="false"/>
                <w:color w:val="1F2937"/>
                <w:sz w:val="19"/>
                <w:szCs w:val="19"/>
              </w:rPr>
              <w:t xml:space="preserve">rollenspel</w:t>
            </w:r>
          </w:p>
        </w:tc>
        <w:tc>
          <w:tcPr>
            <w:tcW w:type="dxa" w:w="1538"/>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3:30–3:50</w:t>
            </w:r>
          </w:p>
        </w:tc>
        <w:tc>
          <w:tcPr>
            <w:tcW w:type="dxa" w:w="4300"/>
            <w:tcMar>
              <w:top w:type="dxa" w:w="100"/>
              <w:left w:type="dxa" w:w="120"/>
              <w:bottom w:type="dxa" w:w="100"/>
              <w:right w:type="dxa" w:w="120"/>
            </w:tcMar>
            <w:vAlign w:val="center"/>
          </w:tcPr>
          <w:p>
            <w:r>
              <w:rPr>
                <w:b w:val="false"/>
                <w:bCs w:val="false"/>
                <w:color w:val="1F2937"/>
                <w:sz w:val="19"/>
                <w:szCs w:val="19"/>
              </w:rPr>
              <w:t xml:space="preserve">Overtuigen; doorzetten, meebewegen, escaleren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22–27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3:50–4:00</w:t>
            </w:r>
          </w:p>
        </w:tc>
        <w:tc>
          <w:tcPr>
            <w:tcW w:type="dxa" w:w="4300"/>
            <w:tcMar>
              <w:top w:type="dxa" w:w="100"/>
              <w:left w:type="dxa" w:w="120"/>
              <w:bottom w:type="dxa" w:w="100"/>
              <w:right w:type="dxa" w:w="120"/>
            </w:tcMar>
            <w:vAlign w:val="center"/>
          </w:tcPr>
          <w:p>
            <w:r>
              <w:rPr>
                <w:b w:val="false"/>
                <w:bCs w:val="false"/>
                <w:color w:val="1F2937"/>
                <w:sz w:val="19"/>
                <w:szCs w:val="19"/>
              </w:rPr>
              <w:t xml:space="preserve">De grens van uw rol; huiswerk</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28</w:t>
            </w:r>
          </w:p>
        </w:tc>
      </w:tr>
    </w:tbl>
    <w:p>
      <w:pPr>
        <w:spacing w:after="300"/>
      </w:pPr>
    </w:p>
    <w:p>
      <w:pPr>
        <w:spacing w:after="160" w:line="276"/>
      </w:pPr>
      <w:r>
        <w:rPr>
          <w:b/>
          <w:bCs/>
          <w:color w:val="1F2937"/>
          <w:sz w:val="22"/>
          <w:szCs w:val="22"/>
        </w:rPr>
        <w:t xml:space="preserve">Opdracht 20.3 (argumenten beoordelen) en 20.6 (escalatiecasussen) staan niet in de planning.</w:t>
      </w:r>
      <w:r>
        <w:rPr>
          <w:color w:val="1F2937"/>
          <w:sz w:val="22"/>
          <w:szCs w:val="22"/>
        </w:rPr>
        <w:t xml:space="preserve"/>
      </w:r>
    </w:p>
    <w:p>
      <w:pPr>
        <w:pStyle w:val="ListParagraph"/>
        <w:numPr>
          <w:ilvl w:val="0"/>
          <w:numId w:val="3"/>
        </w:numPr>
        <w:spacing w:after="100"/>
      </w:pPr>
      <w:r>
        <w:rPr>
          <w:b/>
          <w:bCs/>
          <w:color w:val="1F2937"/>
          <w:sz w:val="22"/>
          <w:szCs w:val="22"/>
        </w:rPr>
        <w:t xml:space="preserve">Doe 20.3 in plaats van 20.4</w:t>
      </w:r>
      <w:r>
        <w:rPr>
          <w:color w:val="1F2937"/>
          <w:sz w:val="22"/>
          <w:szCs w:val="22"/>
        </w:rPr>
        <w:t xml:space="preserve"> bij groepen die weinig eigen praktijkmateriaal hebben; de tien voorbeelden uit bijlage BN werken zelfstandig.</w:t>
      </w:r>
    </w:p>
    <w:p>
      <w:pPr>
        <w:pStyle w:val="ListParagraph"/>
        <w:numPr>
          <w:ilvl w:val="0"/>
          <w:numId w:val="3"/>
        </w:numPr>
        <w:spacing w:after="100"/>
      </w:pPr>
      <w:r>
        <w:rPr>
          <w:b/>
          <w:bCs/>
          <w:color w:val="1F2937"/>
          <w:sz w:val="22"/>
          <w:szCs w:val="22"/>
        </w:rPr>
        <w:t xml:space="preserve">Doe 20.6</w:t>
      </w:r>
      <w:r>
        <w:rPr>
          <w:color w:val="1F2937"/>
          <w:sz w:val="22"/>
          <w:szCs w:val="22"/>
        </w:rPr>
        <w:t xml:space="preserve"> bij groepen met senior architecten of bij organisaties waar escalatie een actueel thema is; casus 3 (escaleren zonder de derde voorwaarde) levert het beste gesprek van het hele deel op.</w:t>
      </w:r>
    </w:p>
    <w:p>
      <w:pPr>
        <w:pStyle w:val="ListParagraph"/>
        <w:numPr>
          <w:ilvl w:val="0"/>
          <w:numId w:val="3"/>
        </w:numPr>
        <w:spacing w:after="100"/>
      </w:pPr>
      <w:r>
        <w:rPr>
          <w:b/>
          <w:bCs/>
          <w:color w:val="1F2937"/>
          <w:sz w:val="22"/>
          <w:szCs w:val="22"/>
        </w:rPr>
        <w:t xml:space="preserve">Bij 4,5 uur: </w:t>
      </w:r>
      <w:r>
        <w:rPr>
          <w:color w:val="1F2937"/>
          <w:sz w:val="22"/>
          <w:szCs w:val="22"/>
        </w:rPr>
        <w:t xml:space="preserve">voeg 20.6 toe na het escalatieblok; dat is de natuurlijke plaats.</w:t>
      </w:r>
    </w:p>
    <w:p>
      <w:pPr>
        <w:spacing w:after="160" w:line="276"/>
      </w:pPr>
      <w:r>
        <w:rPr>
          <w:b/>
          <w:bCs/>
          <w:color w:val="1F2937"/>
          <w:sz w:val="22"/>
          <w:szCs w:val="22"/>
        </w:rPr>
        <w:t xml:space="preserve">Wat u nooit inkort: </w:t>
      </w:r>
      <w:r>
        <w:rPr>
          <w:color w:val="1F2937"/>
          <w:sz w:val="22"/>
          <w:szCs w:val="22"/>
        </w:rPr>
        <w:t xml:space="preserve">opdracht 20.2 en 20.5. Zonder de rollenspelen is dit een leesdagdeel.</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De vier situaties (slides 2–5)</w:t>
      </w:r>
    </w:p>
    <w:p>
      <w:pPr>
        <w:spacing w:after="160" w:line="276"/>
      </w:pPr>
      <w:r>
        <w:rPr>
          <w:b/>
          <w:bCs/>
          <w:color w:val="1F2937"/>
          <w:sz w:val="22"/>
          <w:szCs w:val="22"/>
        </w:rPr>
        <w:t xml:space="preserve">Open met de diagnose, niet met de vaardigheid.</w:t>
      </w:r>
      <w:r>
        <w:rPr>
          <w:color w:val="1F2937"/>
          <w:sz w:val="22"/>
          <w:szCs w:val="22"/>
        </w:rPr>
        <w:t xml:space="preserve"> De tabel op slide 4 is de kern: elke situatie heeft een oorzaak die u kunt benoemen. Dat maakt het analytisch in plaats van intuïtief, en dat is wat deze doelgroep nodig heeft om mee te gaan.</w:t>
      </w:r>
    </w:p>
    <w:p>
      <w:pPr>
        <w:spacing w:after="160" w:line="276"/>
      </w:pPr>
      <w:r>
        <w:rPr>
          <w:b/>
          <w:bCs/>
          <w:color w:val="1F2937"/>
          <w:sz w:val="22"/>
          <w:szCs w:val="22"/>
        </w:rPr>
        <w:t xml:space="preserve">Slide 5 is de ongemakkelijke vaststelling </w:t>
      </w:r>
      <w:r>
        <w:rPr>
          <w:color w:val="1F2937"/>
          <w:sz w:val="22"/>
          <w:szCs w:val="22"/>
        </w:rPr>
        <w:t xml:space="preserve">en zij moet vroeg vallen: in geen van de vier situaties is meer inhoudelijke kennis de oplossing. Vraag of iemand een discussie kent die is opgelost doordat één partij meer wist. De antwoorden zijn schaars.</w:t>
      </w:r>
    </w:p>
    <w:p>
      <w:pPr>
        <w:pStyle w:val="Heading2"/>
        <w:spacing w:after="140" w:before="260"/>
      </w:pPr>
      <w:r>
        <w:rPr>
          <w:b/>
          <w:bCs/>
          <w:color w:val="4A6789"/>
          <w:sz w:val="24"/>
          <w:szCs w:val="24"/>
        </w:rPr>
        <w:t xml:space="preserve">3.2 Opdracht 20.1 (25 minuten)</w:t>
      </w:r>
    </w:p>
    <w:p>
      <w:pPr>
        <w:spacing w:after="160" w:line="276"/>
      </w:pPr>
      <w:r>
        <w:rPr>
          <w:b/>
          <w:bCs/>
          <w:color w:val="1F2937"/>
          <w:sz w:val="22"/>
          <w:szCs w:val="22"/>
        </w:rPr>
        <w:t xml:space="preserve">Plenair vooral c) en d).</w:t>
      </w:r>
      <w:r>
        <w:rPr>
          <w:color w:val="1F2937"/>
          <w:sz w:val="22"/>
          <w:szCs w:val="22"/>
        </w:rPr>
        <w:t xml:space="preserve"/>
      </w:r>
    </w:p>
    <w:p>
      <w:pPr>
        <w:spacing w:after="160" w:line="276"/>
      </w:pPr>
      <w:r>
        <w:rPr>
          <w:color w:val="1F2937"/>
          <w:sz w:val="22"/>
          <w:szCs w:val="22"/>
        </w:rPr>
        <w:t xml:space="preserve">Bij c) is het antwoord dat niemand van standpunt verandert. Veertig minuten waarin geen enkele deelnemer beweegt is geen discussie maar een uitwisseling van posities — en dat is objectief vast te stellen zonder oordeel over de deelnemers.</w:t>
      </w:r>
    </w:p>
    <w:p>
      <w:pPr>
        <w:spacing w:after="160" w:line="276"/>
      </w:pPr>
      <w:r>
        <w:rPr>
          <w:b/>
          <w:bCs/>
          <w:color w:val="1F2937"/>
          <w:sz w:val="22"/>
          <w:szCs w:val="22"/>
        </w:rPr>
        <w:t xml:space="preserve">Bij d) is de vaardigheid het opmerken, niet het bedenken.</w:t>
      </w:r>
      <w:r>
        <w:rPr>
          <w:color w:val="1F2937"/>
          <w:sz w:val="22"/>
          <w:szCs w:val="22"/>
        </w:rPr>
        <w:t xml:space="preserve"> Het moment rond minuut vijfentwintig ("wij moeten dan wel weer alles leren") wordt weggelachen en niemand pakt het op. In vrijwel elk vastgelopen gesprek zit zo'n moment: kort, klinkend als terzijde, en het bevat het werkelijke bezwaar.</w:t>
      </w:r>
    </w:p>
    <w:p>
      <w:pPr>
        <w:spacing w:after="160" w:line="276"/>
      </w:pPr>
      <w:r>
        <w:rPr>
          <w:color w:val="1F2937"/>
          <w:sz w:val="22"/>
          <w:szCs w:val="22"/>
        </w:rPr>
        <w:t xml:space="preserve">Laat de groep dat moment zelf vinden. Wie het vindt, herkent het voortaan in eigen gesprekken.</w:t>
      </w:r>
    </w:p>
    <w:p>
      <w:pPr>
        <w:pStyle w:val="Heading2"/>
        <w:spacing w:after="140" w:before="260"/>
      </w:pPr>
      <w:r>
        <w:rPr>
          <w:b/>
          <w:bCs/>
          <w:color w:val="4A6789"/>
          <w:sz w:val="24"/>
          <w:szCs w:val="24"/>
        </w:rPr>
        <w:t xml:space="preserve">3.3 Modereren (slides 7–11)</w:t>
      </w:r>
    </w:p>
    <w:p>
      <w:pPr>
        <w:spacing w:after="160" w:line="276"/>
      </w:pPr>
      <w:r>
        <w:rPr>
          <w:b/>
          <w:bCs/>
          <w:color w:val="1F2937"/>
          <w:sz w:val="22"/>
          <w:szCs w:val="22"/>
        </w:rPr>
        <w:t xml:space="preserve">Slide 8 is de keuze die deelnemers het lastigst vinden.</w:t>
      </w:r>
      <w:r>
        <w:rPr>
          <w:color w:val="1F2937"/>
          <w:sz w:val="22"/>
          <w:szCs w:val="22"/>
        </w:rPr>
        <w:t xml:space="preserve"> Architecten hebben vrijwel altijd ook een inhoudelijke mening, en de gedachte dat zij die moeten parkeren om te modereren, voelt als verlies.</w:t>
      </w:r>
    </w:p>
    <w:p>
      <w:pPr>
        <w:spacing w:after="160" w:line="276"/>
      </w:pPr>
      <w:r>
        <w:rPr>
          <w:color w:val="1F2937"/>
          <w:sz w:val="22"/>
          <w:szCs w:val="22"/>
        </w:rPr>
        <w:t xml:space="preserve">Het argument: zodra u een voorkeur laat blijken, vertrouwt de groep uw procesleiding niet meer. Dat is geen morele stelling maar een waarneming.</w:t>
      </w:r>
    </w:p>
    <w:p>
      <w:pPr>
        <w:spacing w:after="160" w:line="276"/>
      </w:pPr>
      <w:r>
        <w:rPr>
          <w:b/>
          <w:bCs/>
          <w:color w:val="1F2937"/>
          <w:sz w:val="22"/>
          <w:szCs w:val="22"/>
        </w:rPr>
        <w:t xml:space="preserve">Slide 10 </w:t>
      </w:r>
      <w:r>
        <w:rPr>
          <w:color w:val="1F2937"/>
          <w:sz w:val="22"/>
          <w:szCs w:val="22"/>
        </w:rPr>
        <w:t xml:space="preserve">roept weerstand op — "maar als ik het antwoord weet, is dat toch efficiënter?" Het weerwoord: de volgende keer wachten zij tot u het zegt, en dan bent u de flessenhals uit deel 9.</w:t>
      </w:r>
    </w:p>
    <w:p>
      <w:pPr>
        <w:spacing w:after="160" w:line="276"/>
      </w:pPr>
      <w:r>
        <w:rPr>
          <w:b/>
          <w:bCs/>
          <w:color w:val="1F2937"/>
          <w:sz w:val="22"/>
          <w:szCs w:val="22"/>
        </w:rPr>
        <w:t xml:space="preserve">Opdracht 20.2, drie punten:</w:t>
      </w:r>
      <w:r>
        <w:rPr>
          <w:color w:val="1F2937"/>
          <w:sz w:val="22"/>
          <w:szCs w:val="22"/>
        </w:rPr>
        <w:t xml:space="preserve"/>
      </w:r>
    </w:p>
    <w:p>
      <w:pPr>
        <w:pStyle w:val="ListParagraph"/>
        <w:numPr>
          <w:ilvl w:val="0"/>
          <w:numId w:val="4"/>
        </w:numPr>
        <w:spacing w:after="120"/>
      </w:pPr>
      <w:r>
        <w:rPr>
          <w:b/>
          <w:bCs/>
          <w:color w:val="1F2937"/>
          <w:sz w:val="22"/>
          <w:szCs w:val="22"/>
        </w:rPr>
        <w:t xml:space="preserve">Instrueer de observatoren streng.</w:t>
      </w:r>
      <w:r>
        <w:rPr>
          <w:color w:val="1F2937"/>
          <w:sz w:val="22"/>
          <w:szCs w:val="22"/>
        </w:rPr>
        <w:t xml:space="preserve"> Zij tellen hoe vaak de moderator inhoudelijk deelneemt. Dat is het meest leerzame getal van de oefening en het is doorgaans hoger dan de moderator denkt.</w:t>
      </w:r>
    </w:p>
    <w:p>
      <w:pPr>
        <w:pStyle w:val="ListParagraph"/>
        <w:numPr>
          <w:ilvl w:val="0"/>
          <w:numId w:val="4"/>
        </w:numPr>
        <w:spacing w:after="120"/>
      </w:pPr>
      <w:r>
        <w:rPr>
          <w:b/>
          <w:bCs/>
          <w:color w:val="1F2937"/>
          <w:sz w:val="22"/>
          <w:szCs w:val="22"/>
        </w:rPr>
        <w:t xml:space="preserve">In ronde 2 kent de moderator het werkelijke bezwaar niet.</w:t>
      </w:r>
      <w:r>
        <w:rPr>
          <w:color w:val="1F2937"/>
          <w:sz w:val="22"/>
          <w:szCs w:val="22"/>
        </w:rPr>
        <w:t xml:space="preserve"> Dat is essentieel; deel de rolkaart van de teamlead niet met hem.</w:t>
      </w:r>
    </w:p>
    <w:p>
      <w:pPr>
        <w:pStyle w:val="ListParagraph"/>
        <w:numPr>
          <w:ilvl w:val="0"/>
          <w:numId w:val="4"/>
        </w:numPr>
        <w:spacing w:after="120"/>
      </w:pPr>
      <w:r>
        <w:rPr>
          <w:b/>
          <w:bCs/>
          <w:color w:val="1F2937"/>
          <w:sz w:val="22"/>
          <w:szCs w:val="22"/>
        </w:rPr>
        <w:t xml:space="preserve">Bewaak dat de moderator alleen de vier interventies gebruikt.</w:t>
      </w:r>
      <w:r>
        <w:rPr>
          <w:color w:val="1F2937"/>
          <w:sz w:val="22"/>
          <w:szCs w:val="22"/>
        </w:rPr>
        <w:t xml:space="preserve"> De verleiding om een vijfde te improviseren is groot en zij is meestal een verkapt inhoudelijk antwoord.</w:t>
      </w:r>
    </w:p>
    <w:p>
      <w:pPr>
        <w:spacing w:after="160" w:line="276"/>
      </w:pPr>
      <w:r>
        <w:rPr>
          <w:b/>
          <w:bCs/>
          <w:color w:val="1F2937"/>
          <w:sz w:val="22"/>
          <w:szCs w:val="22"/>
        </w:rPr>
        <w:t xml:space="preserve">Bij de nabespreking </w:t>
      </w:r>
      <w:r>
        <w:rPr>
          <w:color w:val="1F2937"/>
          <w:sz w:val="22"/>
          <w:szCs w:val="22"/>
        </w:rPr>
        <w:t xml:space="preserve">is de vraag welke interventie het moeilijkst was. Het antwoord is vrijwel altijd de vierde — benoemen wat u ziet, neutraal, zonder verwijt. Dat is een formuleervaardigheid; laat twee deelnemers hun formulering hardop doen en laat de groep beoordelen of zij neutraal klinkt.</w:t>
      </w:r>
    </w:p>
    <w:p>
      <w:pPr>
        <w:pStyle w:val="Heading2"/>
        <w:spacing w:after="140" w:before="260"/>
      </w:pPr>
      <w:r>
        <w:rPr>
          <w:b/>
          <w:bCs/>
          <w:color w:val="4A6789"/>
          <w:sz w:val="24"/>
          <w:szCs w:val="24"/>
        </w:rPr>
        <w:t xml:space="preserve">3.4 Het verhulde meningsverschil (slides 12–16)</w:t>
      </w:r>
    </w:p>
    <w:p>
      <w:pPr>
        <w:spacing w:after="160" w:line="276"/>
      </w:pPr>
      <w:r>
        <w:rPr>
          <w:b/>
          <w:bCs/>
          <w:color w:val="1F2937"/>
          <w:sz w:val="22"/>
          <w:szCs w:val="22"/>
        </w:rPr>
        <w:t xml:space="preserve">Dit is inhoudelijk het sterkste blok van het deel.</w:t>
      </w:r>
      <w:r>
        <w:rPr>
          <w:color w:val="1F2937"/>
          <w:sz w:val="22"/>
          <w:szCs w:val="22"/>
        </w:rPr>
        <w:t xml:space="preserve"/>
      </w:r>
    </w:p>
    <w:p>
      <w:pPr>
        <w:spacing w:after="160" w:line="276"/>
      </w:pPr>
      <w:r>
        <w:rPr>
          <w:b/>
          <w:bCs/>
          <w:color w:val="1F2937"/>
          <w:sz w:val="22"/>
          <w:szCs w:val="22"/>
        </w:rPr>
        <w:t xml:space="preserve">Slide 13 geeft het diagnostisch signaal: </w:t>
      </w:r>
      <w:r>
        <w:rPr>
          <w:color w:val="1F2937"/>
          <w:sz w:val="22"/>
          <w:szCs w:val="22"/>
        </w:rPr>
        <w:t xml:space="preserve">verschuivende argumenten. Dat is objectief waarneembaar en het is de reden dat dit geen aanvoelen is.</w:t>
      </w:r>
    </w:p>
    <w:p>
      <w:pPr>
        <w:spacing w:after="160" w:line="276"/>
      </w:pPr>
      <w:r>
        <w:rPr>
          <w:b/>
          <w:bCs/>
          <w:color w:val="1F2937"/>
          <w:sz w:val="22"/>
          <w:szCs w:val="22"/>
        </w:rPr>
        <w:t xml:space="preserve">Slide 15 (de formulering) laat u hardop oefenen.</w:t>
      </w:r>
      <w:r>
        <w:rPr>
          <w:color w:val="1F2937"/>
          <w:sz w:val="22"/>
          <w:szCs w:val="22"/>
        </w:rPr>
        <w:t xml:space="preserve"> Vraag twee deelnemers hem uit te spreken. De toon doet ertoe; dezelfde woorden kunnen erkennend of beschuldigend klinken.</w:t>
      </w:r>
    </w:p>
    <w:p>
      <w:pPr>
        <w:spacing w:after="160" w:line="276"/>
      </w:pPr>
      <w:r>
        <w:rPr>
          <w:b/>
          <w:bCs/>
          <w:color w:val="1F2937"/>
          <w:sz w:val="22"/>
          <w:szCs w:val="22"/>
        </w:rPr>
        <w:t xml:space="preserve">Slide 16 is het argument tegen de reflex: </w:t>
      </w:r>
      <w:r>
        <w:rPr>
          <w:color w:val="1F2937"/>
          <w:sz w:val="22"/>
          <w:szCs w:val="22"/>
        </w:rPr>
        <w:t xml:space="preserve">doorgaan met weerleggen wint elk argument en verliest het besluit. Voor architecten is dat contra-intuïtief — zij zijn getraind om argumenten te weerleggen.</w:t>
      </w:r>
    </w:p>
    <w:p>
      <w:pPr>
        <w:spacing w:after="160" w:line="276"/>
      </w:pPr>
      <w:r>
        <w:rPr>
          <w:b/>
          <w:bCs/>
          <w:color w:val="1F2937"/>
          <w:sz w:val="22"/>
          <w:szCs w:val="22"/>
        </w:rPr>
        <w:t xml:space="preserve">Benoem expliciet wat niet werkt: </w:t>
      </w:r>
      <w:r>
        <w:rPr>
          <w:color w:val="1F2937"/>
          <w:sz w:val="22"/>
          <w:szCs w:val="22"/>
        </w:rPr>
        <w:t xml:space="preserve">rechtstreeks zeggen "je hebt eigenlijk een ander bezwaar". Dat klinkt als een beschuldiging van onoprechtheid, ook als het klopt, en het sluit het gesprek. Vrijwel elke deelnemer probeert het een keer in het rollenspel.</w:t>
      </w:r>
    </w:p>
    <w:p>
      <w:pPr>
        <w:pStyle w:val="Heading2"/>
        <w:spacing w:after="140" w:before="260"/>
      </w:pPr>
      <w:r>
        <w:rPr>
          <w:b/>
          <w:bCs/>
          <w:color w:val="4A6789"/>
          <w:sz w:val="24"/>
          <w:szCs w:val="24"/>
        </w:rPr>
        <w:t xml:space="preserve">3.5 Argumenteren (slides 17–21)</w:t>
      </w:r>
    </w:p>
    <w:p>
      <w:pPr>
        <w:spacing w:after="160" w:line="276"/>
      </w:pPr>
      <w:r>
        <w:rPr>
          <w:b/>
          <w:bCs/>
          <w:color w:val="1F2937"/>
          <w:sz w:val="22"/>
          <w:szCs w:val="22"/>
        </w:rPr>
        <w:t xml:space="preserve">Dit blok landt goed bij technische deelnemers </w:t>
      </w:r>
      <w:r>
        <w:rPr>
          <w:color w:val="1F2937"/>
          <w:sz w:val="22"/>
          <w:szCs w:val="22"/>
        </w:rPr>
        <w:t xml:space="preserve">omdat het een structuur is.</w:t>
      </w:r>
    </w:p>
    <w:p>
      <w:pPr>
        <w:spacing w:after="160" w:line="276"/>
      </w:pPr>
      <w:r>
        <w:rPr>
          <w:b/>
          <w:bCs/>
          <w:color w:val="1F2937"/>
          <w:sz w:val="22"/>
          <w:szCs w:val="22"/>
        </w:rPr>
        <w:t xml:space="preserve">Slide 18, het derde deel.</w:t>
      </w:r>
      <w:r>
        <w:rPr>
          <w:color w:val="1F2937"/>
          <w:sz w:val="22"/>
          <w:szCs w:val="22"/>
        </w:rPr>
        <w:t xml:space="preserve"> Laat de groep het voorbeeld zelf aanvullen: waarom volgt "asynchroon werken" uit "90 seconden"? Er zijn twee tussenstappen (de limiet van het koppelvlak, en het feit dat de bevestiging niet op de doorgifte hoeft te wachten), en die zijn voor de spreker vanzelfsprekend.</w:t>
      </w:r>
    </w:p>
    <w:p>
      <w:pPr>
        <w:spacing w:after="160" w:line="276"/>
      </w:pPr>
      <w:r>
        <w:rPr>
          <w:b/>
          <w:bCs/>
          <w:color w:val="1F2937"/>
          <w:sz w:val="22"/>
          <w:szCs w:val="22"/>
        </w:rPr>
        <w:t xml:space="preserve">Slide 19, punt 5 met nadruk.</w:t>
      </w:r>
      <w:r>
        <w:rPr>
          <w:color w:val="1F2937"/>
          <w:sz w:val="22"/>
          <w:szCs w:val="22"/>
        </w:rPr>
        <w:t xml:space="preserve"> Autoriteit als grond is bij architecten verrassend populair — "zo doen wij dat", "dat is de standaard", "de leverancier adviseert het". Het is de zwakste grond die er is.</w:t>
      </w:r>
    </w:p>
    <w:p>
      <w:pPr>
        <w:spacing w:after="160" w:line="276"/>
      </w:pPr>
      <w:r>
        <w:rPr>
          <w:b/>
          <w:bCs/>
          <w:color w:val="1F2937"/>
          <w:sz w:val="22"/>
          <w:szCs w:val="22"/>
        </w:rPr>
        <w:t xml:space="preserve">Slide 20, de valse zekerheid </w:t>
      </w:r>
      <w:r>
        <w:rPr>
          <w:color w:val="1F2937"/>
          <w:sz w:val="22"/>
          <w:szCs w:val="22"/>
        </w:rPr>
        <w:t xml:space="preserve">verdient extra tijd, want het is de drogreden die architecten zélf het meest gebruiken. Een schatting zonder marge, zonder aanname, zonder bandbreedte, gepresenteerd als feit. Vraag wie dat deze maand heeft gedaan; de eerlijke handen komen omhoog.</w:t>
      </w:r>
    </w:p>
    <w:p>
      <w:pPr>
        <w:spacing w:after="160" w:line="276"/>
      </w:pPr>
      <w:r>
        <w:rPr>
          <w:b/>
          <w:bCs/>
          <w:color w:val="1F2937"/>
          <w:sz w:val="22"/>
          <w:szCs w:val="22"/>
        </w:rPr>
        <w:t xml:space="preserve">Slide 21 is de praktische regel: </w:t>
      </w:r>
      <w:r>
        <w:rPr>
          <w:color w:val="1F2937"/>
          <w:sz w:val="22"/>
          <w:szCs w:val="22"/>
        </w:rPr>
        <w:t xml:space="preserve">benoem een drogreden niet, vraag naar de grond. Laat de groep voor drie drogredenen de vraag formuleren.</w:t>
      </w:r>
    </w:p>
    <w:p>
      <w:pPr>
        <w:pStyle w:val="Heading2"/>
        <w:spacing w:after="140" w:before="260"/>
      </w:pPr>
      <w:r>
        <w:rPr>
          <w:b/>
          <w:bCs/>
          <w:color w:val="4A6789"/>
          <w:sz w:val="24"/>
          <w:szCs w:val="24"/>
        </w:rPr>
        <w:t xml:space="preserve">3.6 Opdracht 20.4 en 20.5 (60 minuten samen)</w:t>
      </w:r>
    </w:p>
    <w:p>
      <w:pPr>
        <w:spacing w:after="160" w:line="276"/>
      </w:pPr>
      <w:r>
        <w:rPr>
          <w:b/>
          <w:bCs/>
          <w:color w:val="1F2937"/>
          <w:sz w:val="22"/>
          <w:szCs w:val="22"/>
        </w:rPr>
        <w:t xml:space="preserve">Opdracht 20.4 </w:t>
      </w:r>
      <w:r>
        <w:rPr>
          <w:color w:val="1F2937"/>
          <w:sz w:val="22"/>
          <w:szCs w:val="22"/>
        </w:rPr>
        <w:t xml:space="preserve">werkt het best als het argument echt is. Dring aan op een standpunt dat de deelnemer werkelijk verdedigt, niet een bedacht voorbeeld.</w:t>
      </w:r>
    </w:p>
    <w:p>
      <w:pPr>
        <w:spacing w:after="160" w:line="276"/>
      </w:pPr>
      <w:r>
        <w:rPr>
          <w:b/>
          <w:bCs/>
          <w:color w:val="1F2937"/>
          <w:sz w:val="22"/>
          <w:szCs w:val="22"/>
        </w:rPr>
        <w:t xml:space="preserve">Onderdeel d) is het waardevolste van het werkboek: </w:t>
      </w:r>
      <w:r>
        <w:rPr>
          <w:color w:val="1F2937"/>
          <w:sz w:val="22"/>
          <w:szCs w:val="22"/>
        </w:rPr>
        <w:t xml:space="preserve">de duopartner valt aan op grond en verbinding, niet op de bewering. Dat is een ongewone ervaring — architecten worden doorgaans aangevallen op hun conclusie.</w:t>
      </w:r>
    </w:p>
    <w:p>
      <w:pPr>
        <w:spacing w:after="160" w:line="276"/>
      </w:pPr>
      <w:r>
        <w:rPr>
          <w:b/>
          <w:bCs/>
          <w:color w:val="1F2937"/>
          <w:sz w:val="22"/>
          <w:szCs w:val="22"/>
        </w:rPr>
        <w:t xml:space="preserve">Opdracht 20.5, twee punten:</w:t>
      </w:r>
      <w:r>
        <w:rPr>
          <w:color w:val="1F2937"/>
          <w:sz w:val="22"/>
          <w:szCs w:val="22"/>
        </w:rPr>
        <w:t xml:space="preserve"/>
      </w:r>
    </w:p>
    <w:p>
      <w:pPr>
        <w:pStyle w:val="ListParagraph"/>
        <w:numPr>
          <w:ilvl w:val="0"/>
          <w:numId w:val="5"/>
        </w:numPr>
        <w:spacing w:after="120"/>
      </w:pPr>
      <w:r>
        <w:rPr>
          <w:b/>
          <w:bCs/>
          <w:color w:val="1F2937"/>
          <w:sz w:val="22"/>
          <w:szCs w:val="22"/>
        </w:rPr>
        <w:t xml:space="preserve">Situatie 4 (stilzwijgende weerstand) is de moeilijkste </w:t>
      </w:r>
      <w:r>
        <w:rPr>
          <w:color w:val="1F2937"/>
          <w:sz w:val="22"/>
          <w:szCs w:val="22"/>
        </w:rPr>
        <w:t xml:space="preserve">en zij levert de beste nabespreking op. Zorg dat elke groep hem doet.</w:t>
      </w:r>
    </w:p>
    <w:p>
      <w:pPr>
        <w:pStyle w:val="ListParagraph"/>
        <w:numPr>
          <w:ilvl w:val="0"/>
          <w:numId w:val="5"/>
        </w:numPr>
        <w:spacing w:after="120"/>
      </w:pPr>
      <w:r>
        <w:rPr>
          <w:b/>
          <w:bCs/>
          <w:color w:val="1F2937"/>
          <w:sz w:val="22"/>
          <w:szCs w:val="22"/>
        </w:rPr>
        <w:t xml:space="preserve">De observator noteert het moment waarop de architect van vragen naar overtuigen gaat.</w:t>
      </w:r>
      <w:r>
        <w:rPr>
          <w:color w:val="1F2937"/>
          <w:sz w:val="22"/>
          <w:szCs w:val="22"/>
        </w:rPr>
        <w:t xml:space="preserve"> Dat is doorgaans binnen drie minuten, en het is de reflex waar dit hele deel tegen oefent.</w:t>
      </w:r>
    </w:p>
    <w:p>
      <w:pPr>
        <w:spacing w:after="160" w:line="276"/>
      </w:pPr>
      <w:r>
        <w:rPr>
          <w:b/>
          <w:bCs/>
          <w:color w:val="1F2937"/>
          <w:sz w:val="22"/>
          <w:szCs w:val="22"/>
        </w:rPr>
        <w:t xml:space="preserve">Bij de nabespreking van situatie 4: </w:t>
      </w:r>
      <w:r>
        <w:rPr>
          <w:color w:val="1F2937"/>
          <w:sz w:val="22"/>
          <w:szCs w:val="22"/>
        </w:rPr>
        <w:t xml:space="preserve">wat werkte is benoemen zonder verwijt en vragen naar de oorzaak. Wat niet werkt is herhalen, aandringen of escaleren — bij stilzwijgende weerstand is escaleren de snelste manier om er permanente weerstand van te maken.</w:t>
      </w:r>
    </w:p>
    <w:p>
      <w:pPr>
        <w:pStyle w:val="Heading2"/>
        <w:spacing w:after="140" w:before="260"/>
      </w:pPr>
      <w:r>
        <w:rPr>
          <w:b/>
          <w:bCs/>
          <w:color w:val="4A6789"/>
          <w:sz w:val="24"/>
          <w:szCs w:val="24"/>
        </w:rPr>
        <w:t xml:space="preserve">3.7 Overtuigen en escaleren (slides 22–28)</w:t>
      </w:r>
    </w:p>
    <w:p>
      <w:pPr>
        <w:spacing w:after="160" w:line="276"/>
      </w:pPr>
      <w:r>
        <w:rPr>
          <w:b/>
          <w:bCs/>
          <w:color w:val="1F2937"/>
          <w:sz w:val="22"/>
          <w:szCs w:val="22"/>
        </w:rPr>
        <w:t xml:space="preserve">Slide 24–25 zijn de kern van dit blok </w:t>
      </w:r>
      <w:r>
        <w:rPr>
          <w:color w:val="1F2937"/>
          <w:sz w:val="22"/>
          <w:szCs w:val="22"/>
        </w:rPr>
        <w:t xml:space="preserve">en zij zijn voor sommige deelnemers bevrijdend: verliezen zonder te beschadigen is een vaardigheid, en wie altijd wint wordt vermeden.</w:t>
      </w:r>
    </w:p>
    <w:p>
      <w:pPr>
        <w:spacing w:after="160" w:line="276"/>
      </w:pPr>
      <w:r>
        <w:rPr>
          <w:b/>
          <w:bCs/>
          <w:color w:val="1F2937"/>
          <w:sz w:val="22"/>
          <w:szCs w:val="22"/>
        </w:rPr>
        <w:t xml:space="preserve">Slide 26–27, escaleren.</w:t>
      </w:r>
      <w:r>
        <w:rPr>
          <w:color w:val="1F2937"/>
          <w:sz w:val="22"/>
          <w:szCs w:val="22"/>
        </w:rPr>
        <w:t xml:space="preserve"> De derde voorwaarde is de moeilijkste en zij is niet optioneel. Als u opdracht 20.6 doet, is casus 3 het bewijs: de architect had inhoudelijk gelijk, het besluit werd teruggedraaid, en hij werd bij de volgende drie besluiten niet meer geraadpleegd — waarvan er twee misgingen op punten die hij had kunnen zien.</w:t>
      </w:r>
    </w:p>
    <w:p>
      <w:pPr>
        <w:spacing w:after="160" w:line="276"/>
      </w:pPr>
      <w:r>
        <w:rPr>
          <w:b/>
          <w:bCs/>
          <w:color w:val="1F2937"/>
          <w:sz w:val="22"/>
          <w:szCs w:val="22"/>
        </w:rPr>
        <w:t xml:space="preserve">Formuleer de les scherp: </w:t>
      </w:r>
      <w:r>
        <w:rPr>
          <w:color w:val="1F2937"/>
          <w:sz w:val="22"/>
          <w:szCs w:val="22"/>
        </w:rPr>
        <w:t xml:space="preserve">gelijk krijgen op één besluit ten koste van uw positie bij de volgende tien is een slechte ruil, ook als u gelijk had.</w:t>
      </w:r>
    </w:p>
    <w:p>
      <w:pPr>
        <w:spacing w:after="160" w:line="276"/>
      </w:pPr>
      <w:r>
        <w:rPr>
          <w:b/>
          <w:bCs/>
          <w:color w:val="1F2937"/>
          <w:sz w:val="22"/>
          <w:szCs w:val="22"/>
        </w:rPr>
        <w:t xml:space="preserve">Slide 28 sluit af met de rolgrens </w:t>
      </w:r>
      <w:r>
        <w:rPr>
          <w:color w:val="1F2937"/>
          <w:sz w:val="22"/>
          <w:szCs w:val="22"/>
        </w:rPr>
        <w:t xml:space="preserve">en dat verbindt terug naar deel 14, 15, 16 en 19 — het patroon dat door heel niveau 2 loopt. Sommige besluiten zijn niet aan de architect; uw taak is ze scherp voorleggen. Wie dat onderscheid maakt, krijgt gehoor op de punten waar hij wél over gaat.</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"Dit is zachte kennis."</w:t>
      </w:r>
      <w:r>
        <w:rPr>
          <w:color w:val="1F2937"/>
          <w:sz w:val="22"/>
          <w:szCs w:val="22"/>
        </w:rPr>
        <w:t xml:space="preserve"> Komt in de eerste tien minuten. Het weerwoord is slide 4: elke situatie heeft een benoembare oorzaak, en de interventies zijn specifiek. Bied aan er na afloop op terug te komen; na opdracht 20.2 komt de opmerking meestal niet meer.</w:t>
      </w:r>
    </w:p>
    <w:p>
      <w:pPr>
        <w:spacing w:after="160" w:line="276"/>
      </w:pPr>
      <w:r>
        <w:rPr>
          <w:b/>
          <w:bCs/>
          <w:color w:val="1F2937"/>
          <w:sz w:val="22"/>
          <w:szCs w:val="22"/>
        </w:rPr>
        <w:t xml:space="preserve">Iemand vindt de rollenspelen ongemakkelijk.</w:t>
      </w:r>
      <w:r>
        <w:rPr>
          <w:color w:val="1F2937"/>
          <w:sz w:val="22"/>
          <w:szCs w:val="22"/>
        </w:rPr>
        <w:t xml:space="preserve"> Vaak terecht en het is een reëel bezwaar bij deze doelgroep. Twee maatregelen: laat mensen zelf hun rol kiezen in de eerste ronde, en maak de observatorrol volwaardig — die is inhoudelijk even leerzaam en sociaal veiliger.</w:t>
      </w:r>
    </w:p>
    <w:p>
      <w:pPr>
        <w:spacing w:after="160" w:line="276"/>
      </w:pPr>
      <w:r>
        <w:rPr>
          <w:b/>
          <w:bCs/>
          <w:color w:val="1F2937"/>
          <w:sz w:val="22"/>
          <w:szCs w:val="22"/>
        </w:rPr>
        <w:t xml:space="preserve">De groep wil over een concreet conflict in hun organisatie praten.</w:t>
      </w:r>
      <w:r>
        <w:rPr>
          <w:color w:val="1F2937"/>
          <w:sz w:val="22"/>
          <w:szCs w:val="22"/>
        </w:rPr>
        <w:t xml:space="preserve"> Vaak het waardevolste gesprek van de dag en tegelijk een risico. Geef er ruimte bij opdracht 20.7 en bewaak dat de casus niet in een klaagsessie verandert. De sturende vraag: wat is hier de diagnose uit slide 4?</w:t>
      </w:r>
    </w:p>
    <w:p>
      <w:pPr>
        <w:spacing w:after="160" w:line="276"/>
      </w:pPr>
      <w:r>
        <w:rPr>
          <w:b/>
          <w:bCs/>
          <w:color w:val="1F2937"/>
          <w:sz w:val="22"/>
          <w:szCs w:val="22"/>
        </w:rPr>
        <w:t xml:space="preserve">Een deelnemer met een lopend conflict wil advies.</w:t>
      </w:r>
      <w:r>
        <w:rPr>
          <w:color w:val="1F2937"/>
          <w:sz w:val="22"/>
          <w:szCs w:val="22"/>
        </w:rPr>
        <w:t xml:space="preserve"> Wees voorzichtig. U kent één kant van het verhaal. Wat u wel kunt: helpen de diagnose te stellen en de opties benoemen (doorzetten, meebewegen, escaleren) met hun voorwaarden. Wat u niet doet: adviseren wat hij moet doen.</w:t>
      </w:r>
    </w:p>
    <w:p>
      <w:pPr>
        <w:spacing w:after="160" w:line="276"/>
      </w:pPr>
      <w:r>
        <w:rPr>
          <w:b/>
          <w:bCs/>
          <w:color w:val="1F2937"/>
          <w:sz w:val="22"/>
          <w:szCs w:val="22"/>
        </w:rPr>
        <w:t xml:space="preserve">Los aangeboden aan teamleads of ontwikkelaars.</w:t>
      </w:r>
      <w:r>
        <w:rPr>
          <w:color w:val="1F2937"/>
          <w:sz w:val="22"/>
          <w:szCs w:val="22"/>
        </w:rPr>
        <w:t xml:space="preserve"> Het materiaal werkt; vervang alleen de casusvoorbeelden. De vier situaties uit paragraaf 20.1 zijn niet architectuurspecifiek — zij komen in elke rol met inhoudelijke verantwoordelijkheid voor.</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6"/>
        </w:numPr>
        <w:spacing w:after="120"/>
      </w:pPr>
      <w:r>
        <w:rPr>
          <w:color w:val="1F2937"/>
          <w:sz w:val="22"/>
          <w:szCs w:val="22"/>
        </w:rPr>
        <w:t xml:space="preserve">Wie als moderator binnen vijf minuten inhoudelijk deelneemt en het niet merkt? Zal in de praktijk elke discussie naar zich toetrekken.</w:t>
      </w:r>
    </w:p>
    <w:p>
      <w:pPr>
        <w:pStyle w:val="ListParagraph"/>
        <w:numPr>
          <w:ilvl w:val="0"/>
          <w:numId w:val="6"/>
        </w:numPr>
        <w:spacing w:after="120"/>
      </w:pPr>
      <w:r>
        <w:rPr>
          <w:color w:val="1F2937"/>
          <w:sz w:val="22"/>
          <w:szCs w:val="22"/>
        </w:rPr>
        <w:t xml:space="preserve">Wie in het rollenspel bij weerstand overgaat op overtuigen? De standaardreflex; benoem hem individueel, want hij is met bewustwording goed te corrigeren.</w:t>
      </w:r>
    </w:p>
    <w:p>
      <w:pPr>
        <w:pStyle w:val="ListParagraph"/>
        <w:numPr>
          <w:ilvl w:val="0"/>
          <w:numId w:val="6"/>
        </w:numPr>
        <w:spacing w:after="120"/>
      </w:pPr>
      <w:r>
        <w:rPr>
          <w:color w:val="1F2937"/>
          <w:sz w:val="22"/>
          <w:szCs w:val="22"/>
        </w:rPr>
        <w:t xml:space="preserve">Wie escalatie verdedigt zonder de derde voorwaarde? Dit voorspelt relatieschade die de deelnemer niet ziet aankomen.</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20</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color w:val="1F2937"/>
          <w:sz w:val="22"/>
          <w:szCs w:val="22"/>
        </w:rPr>
        <w:t xml:space="preserve">Bijlage BL: het transcript van veertig minuten discussie, ingekort tot vier pagina's met tijdmarkeringen</w:t>
      </w:r>
    </w:p>
    <w:p>
      <w:pPr>
        <w:pStyle w:val="ListParagraph"/>
        <w:numPr>
          <w:ilvl w:val="0"/>
          <w:numId w:val="3"/>
        </w:numPr>
        <w:spacing w:after="100"/>
      </w:pPr>
      <w:r>
        <w:rPr>
          <w:color w:val="1F2937"/>
          <w:sz w:val="22"/>
          <w:szCs w:val="22"/>
        </w:rPr>
        <w:t xml:space="preserve">Bijlage BM: rolkaarten voor beide moderatierondes — de rolkaart van de teamlead in ronde 2 niet aan de moderator geven</w:t>
      </w:r>
    </w:p>
    <w:p>
      <w:pPr>
        <w:pStyle w:val="ListParagraph"/>
        <w:numPr>
          <w:ilvl w:val="0"/>
          <w:numId w:val="3"/>
        </w:numPr>
        <w:spacing w:after="100"/>
      </w:pPr>
      <w:r>
        <w:rPr>
          <w:color w:val="1F2937"/>
          <w:sz w:val="22"/>
          <w:szCs w:val="22"/>
        </w:rPr>
        <w:t xml:space="preserve">Bijlage BN: tien argumenten, vijf met drogreden</w:t>
      </w:r>
    </w:p>
    <w:p>
      <w:pPr>
        <w:pStyle w:val="ListParagraph"/>
        <w:numPr>
          <w:ilvl w:val="0"/>
          <w:numId w:val="3"/>
        </w:numPr>
        <w:spacing w:after="100"/>
      </w:pPr>
      <w:r>
        <w:rPr>
          <w:color w:val="1F2937"/>
          <w:sz w:val="22"/>
          <w:szCs w:val="22"/>
        </w:rPr>
        <w:t xml:space="preserve">Bijlage BO: vier situatiebeschrijvingen voor het weerstandsrollenspel</w:t>
      </w:r>
    </w:p>
    <w:p>
      <w:pPr>
        <w:pStyle w:val="ListParagraph"/>
        <w:numPr>
          <w:ilvl w:val="0"/>
          <w:numId w:val="3"/>
        </w:numPr>
        <w:spacing w:after="100"/>
      </w:pPr>
      <w:r>
        <w:rPr>
          <w:color w:val="1F2937"/>
          <w:sz w:val="22"/>
          <w:szCs w:val="22"/>
        </w:rPr>
        <w:t xml:space="preserve">Bijlage BP: drie escalatiecasussen met de werkelijke afloop, apart afgedrukt zodat de afloop pas na de inschatting wordt gelezen</w:t>
      </w:r>
    </w:p>
    <w:p>
      <w:pPr>
        <w:pStyle w:val="ListParagraph"/>
        <w:numPr>
          <w:ilvl w:val="0"/>
          <w:numId w:val="3"/>
        </w:numPr>
        <w:spacing w:after="100"/>
      </w:pPr>
      <w:r>
        <w:rPr>
          <w:color w:val="1F2937"/>
          <w:sz w:val="22"/>
          <w:szCs w:val="22"/>
        </w:rPr>
        <w:t xml:space="preserve">Voldoende ruimte voor drie tot vijf groepen die tegelijk rollenspellen doen — dit deel vraagt meer ruimte dan de andere</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21 is de tussenbeoordeling van niveau 2: de credit-pointkaart, een portfolioreview, en het onderwerp teamindeling in relatie tot architectuur. De brug: we hebben nu de drie competentiegebieden gehad. Volgende keer maken we de balans op — waar staat u, welke modules zou u waar inkopen, en wat is uw plan richting het certificeringstraject? Daarnaast één inhoudelijk onderwerp dat we telkens hebben geparkeerd: de verhouding tussen uw architectuur en de indeling van uw teams.</w:t>
      </w:r>
    </w:p>
    <w:p>
      <w:pPr>
        <w:pBdr>
          <w:top w:val="single" w:color="E5E7EB" w:sz="4" w:space="8"/>
        </w:pBdr>
        <w:spacing w:before="400"/>
        <w:jc w:val="center"/>
      </w:pPr>
      <w:r>
        <w:rPr>
          <w:i/>
          <w:iCs/>
          <w:color w:val="6B7280"/>
          <w:sz w:val="17"/>
          <w:szCs w:val="17"/>
        </w:rPr>
        <w:t xml:space="preserve">Ductus B.V. · Cursus Softwarearchitectuur · Niveau 2, deel 20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2026-08-17T19:36:11.349Z</dcterms:created>
  <dcterms:modified xsi:type="dcterms:W3CDTF">2026-08-17T19:36:11.350Z</dcterms:modified>
</cp:coreProperties>
</file>

<file path=docProps/custom.xml><?xml version="1.0" encoding="utf-8"?>
<Properties xmlns="http://schemas.openxmlformats.org/officeDocument/2006/custom-properties" xmlns:vt="http://schemas.openxmlformats.org/officeDocument/2006/docPropsVTypes"/>
</file>