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20 — Modereren, argumenteren, overtuigen</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20 van 28</w:t>
      </w:r>
    </w:p>
    <w:p>
      <w:pPr>
        <w:spacing w:after="160" w:line="276"/>
      </w:pPr>
      <w:r>
        <w:rPr>
          <w:i/>
          <w:iCs/>
          <w:color w:val="6B7280"/>
          <w:sz w:val="22"/>
          <w:szCs w:val="22"/>
        </w:rPr>
        <w:t xml:space="preserve">Competentiegebied: communicatief · </w:t>
      </w:r>
      <w:r>
        <w:rPr>
          <w:b/>
          <w:bCs/>
          <w:i/>
          <w:iCs/>
          <w:color w:val="6B7280"/>
          <w:sz w:val="22"/>
          <w:szCs w:val="22"/>
        </w:rPr>
        <w:t xml:space="preserve">los aanbiedbaar</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60" w:line="276"/>
            </w:pPr>
            <w:r>
              <w:rPr>
                <w:i/>
                <w:iCs/>
                <w:color w:val="1F2937"/>
                <w:sz w:val="21"/>
                <w:szCs w:val="21"/>
              </w:rPr>
              <w:t xml:space="preserve">Voorbereiding op het CPSA-Advanced-traject van het iSAQB; deze cursus is geen geaccrediteerde training en levert geen credit points. Raadpleeg isaqb.org voor het actuele modulelandschap.</w:t>
            </w:r>
          </w:p>
          <w:p>
            <w:pPr>
              <w:spacing w:after="160" w:line="276"/>
            </w:pPr>
            <w:r>
              <w:rPr>
                <w:b/>
                <w:bCs/>
                <w:i/>
                <w:iCs/>
                <w:color w:val="1F2937"/>
                <w:sz w:val="21"/>
                <w:szCs w:val="21"/>
              </w:rPr>
              <w:t xml:space="preserve">Dit deel is los aanbiedbaar.</w:t>
            </w:r>
            <w:r>
              <w:rPr>
                <w:i/>
                <w:iCs/>
                <w:color w:val="1F2937"/>
                <w:sz w:val="21"/>
                <w:szCs w:val="21"/>
              </w:rPr>
              <w:t xml:space="preserve"> Het veronderstelt geen kennis van de voorgaande delen. Waar wij naar de casus verwijzen, staat er genoeg context bij om het zonder die voorgeschiedenis te kunnen volgen. Deelnemers die de hele reeks volgen, herkennen de voorbeelden; wie alleen dit deel volgt, mist niets essentieels.</w:t>
            </w:r>
          </w:p>
          <w:p>
            <w:pPr>
              <w:spacing w:after="160" w:line="276"/>
            </w:pPr>
            <w:r>
              <w:rPr>
                <w:b/>
                <w:bCs/>
                <w:i/>
                <w:iCs/>
                <w:color w:val="1F2937"/>
                <w:sz w:val="21"/>
                <w:szCs w:val="21"/>
              </w:rPr>
              <w:t xml:space="preserve">Wat dit deel niet is: </w:t>
            </w:r>
            <w:r>
              <w:rPr>
                <w:i/>
                <w:iCs/>
                <w:color w:val="1F2937"/>
                <w:sz w:val="21"/>
                <w:szCs w:val="21"/>
              </w:rPr>
              <w:t xml:space="preserve">een algemene communicatietraining. Het gaat over de specifieke gesprekssituaties waarin een architect terechtkomt, en over de vaardigheden die daar het verschil maken.</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een technische discussie modereren zonder er zelf in te stappen;</w:t>
      </w:r>
    </w:p>
    <w:p>
      <w:pPr>
        <w:pStyle w:val="ListParagraph"/>
        <w:numPr>
          <w:ilvl w:val="0"/>
          <w:numId w:val="2"/>
        </w:numPr>
        <w:spacing w:after="120"/>
      </w:pPr>
      <w:r>
        <w:rPr>
          <w:color w:val="1F2937"/>
          <w:sz w:val="22"/>
          <w:szCs w:val="22"/>
        </w:rPr>
        <w:t xml:space="preserve">herkennen wanneer een technisch meningsverschil eigenlijk over iets anders gaat, en dat benoembaar maken;</w:t>
      </w:r>
    </w:p>
    <w:p>
      <w:pPr>
        <w:pStyle w:val="ListParagraph"/>
        <w:numPr>
          <w:ilvl w:val="0"/>
          <w:numId w:val="2"/>
        </w:numPr>
        <w:spacing w:after="120"/>
      </w:pPr>
      <w:r>
        <w:rPr>
          <w:color w:val="1F2937"/>
          <w:sz w:val="22"/>
          <w:szCs w:val="22"/>
        </w:rPr>
        <w:t xml:space="preserve">een argument opbouwen dat bestand is tegen tegenspraak, en de gangbare drogredenen herkennen;</w:t>
      </w:r>
    </w:p>
    <w:p>
      <w:pPr>
        <w:pStyle w:val="ListParagraph"/>
        <w:numPr>
          <w:ilvl w:val="0"/>
          <w:numId w:val="2"/>
        </w:numPr>
        <w:spacing w:after="120"/>
      </w:pPr>
      <w:r>
        <w:rPr>
          <w:color w:val="1F2937"/>
          <w:sz w:val="22"/>
          <w:szCs w:val="22"/>
        </w:rPr>
        <w:t xml:space="preserve">omgaan met weerstand zonder te overtuigen of toe te geven;</w:t>
      </w:r>
    </w:p>
    <w:p>
      <w:pPr>
        <w:pStyle w:val="ListParagraph"/>
        <w:numPr>
          <w:ilvl w:val="0"/>
          <w:numId w:val="2"/>
        </w:numPr>
        <w:spacing w:after="120"/>
      </w:pPr>
      <w:r>
        <w:rPr>
          <w:color w:val="1F2937"/>
          <w:sz w:val="22"/>
          <w:szCs w:val="22"/>
        </w:rPr>
        <w:t xml:space="preserve">een besluit bereiken in een groep die het niet eens is;</w:t>
      </w:r>
    </w:p>
    <w:p>
      <w:pPr>
        <w:pStyle w:val="ListParagraph"/>
        <w:numPr>
          <w:ilvl w:val="0"/>
          <w:numId w:val="2"/>
        </w:numPr>
        <w:spacing w:after="120"/>
      </w:pPr>
      <w:r>
        <w:rPr>
          <w:color w:val="1F2937"/>
          <w:sz w:val="22"/>
          <w:szCs w:val="22"/>
        </w:rPr>
        <w:t xml:space="preserve">uw eigen positie bepalen: wanneer u doorzet, wanneer u meebeweegt, en wanneer u escaleert.</w:t>
      </w:r>
    </w:p>
    <w:p>
      <w:pPr>
        <w:pStyle w:val="Heading1"/>
        <w:pBdr>
          <w:bottom w:val="single" w:color="E5E7EB" w:sz="6" w:space="6"/>
        </w:pBdr>
        <w:spacing w:after="180" w:before="380"/>
      </w:pPr>
      <w:r>
        <w:rPr>
          <w:b/>
          <w:bCs/>
          <w:color w:val="1F3A5F"/>
          <w:sz w:val="30"/>
          <w:szCs w:val="30"/>
        </w:rPr>
        <w:t xml:space="preserve">20.1 Waar architecten in terechtkomen</w:t>
      </w:r>
    </w:p>
    <w:p>
      <w:pPr>
        <w:spacing w:after="160" w:line="276"/>
      </w:pPr>
      <w:r>
        <w:rPr>
          <w:color w:val="1F2937"/>
          <w:sz w:val="22"/>
          <w:szCs w:val="22"/>
        </w:rPr>
        <w:t xml:space="preserve">Vier situaties die in vrijwel elke architectuurrol terugkomen, met wat er werkelijk aan de hand is.</w:t>
      </w:r>
    </w:p>
    <w:p>
      <w:pPr>
        <w:spacing w:after="160" w:line="276"/>
      </w:pPr>
      <w:r>
        <w:rPr>
          <w:b/>
          <w:bCs/>
          <w:color w:val="1F2937"/>
          <w:sz w:val="22"/>
          <w:szCs w:val="22"/>
        </w:rPr>
        <w:t xml:space="preserve">De vastgelopen technische discussie.</w:t>
      </w:r>
      <w:r>
        <w:rPr>
          <w:color w:val="1F2937"/>
          <w:sz w:val="22"/>
          <w:szCs w:val="22"/>
        </w:rPr>
        <w:t xml:space="preserve"> Twee ontwikkelaars discussiëren al veertig minuten over een technologiekeuze. Beide argumenten kloppen. Er komt geen besluit.</w:t>
      </w:r>
    </w:p>
    <w:p>
      <w:pPr>
        <w:spacing w:after="160" w:line="276"/>
      </w:pPr>
      <w:r>
        <w:rPr>
          <w:i/>
          <w:iCs/>
          <w:color w:val="1F2937"/>
          <w:sz w:val="22"/>
          <w:szCs w:val="22"/>
        </w:rPr>
        <w:t xml:space="preserve">Wat er aan de hand is: </w:t>
      </w:r>
      <w:r>
        <w:rPr>
          <w:color w:val="1F2937"/>
          <w:sz w:val="22"/>
          <w:szCs w:val="22"/>
        </w:rPr>
        <w:t xml:space="preserve">er is geen criterium. Zonder criterium is elk argument even geldig en duurt de discussie tot iemand moe wordt.</w:t>
      </w:r>
    </w:p>
    <w:p>
      <w:pPr>
        <w:spacing w:after="160" w:line="276"/>
      </w:pPr>
      <w:r>
        <w:rPr>
          <w:b/>
          <w:bCs/>
          <w:color w:val="1F2937"/>
          <w:sz w:val="22"/>
          <w:szCs w:val="22"/>
        </w:rPr>
        <w:t xml:space="preserve">Het verhulde meningsverschil.</w:t>
      </w:r>
      <w:r>
        <w:rPr>
          <w:color w:val="1F2937"/>
          <w:sz w:val="22"/>
          <w:szCs w:val="22"/>
        </w:rPr>
        <w:t xml:space="preserve"> Een team verzet zich hardnekkig tegen een ontwerpkeuze met technische argumenten die telkens verschuiven. Weerlegt u het ene, dan komt het volgende.</w:t>
      </w:r>
    </w:p>
    <w:p>
      <w:pPr>
        <w:spacing w:after="160" w:line="276"/>
      </w:pPr>
      <w:r>
        <w:rPr>
          <w:i/>
          <w:iCs/>
          <w:color w:val="1F2937"/>
          <w:sz w:val="22"/>
          <w:szCs w:val="22"/>
        </w:rPr>
        <w:t xml:space="preserve">Wat er aan de hand is: </w:t>
      </w:r>
      <w:r>
        <w:rPr>
          <w:color w:val="1F2937"/>
          <w:sz w:val="22"/>
          <w:szCs w:val="22"/>
        </w:rPr>
        <w:t xml:space="preserve">het werkelijke bezwaar is niet technisch. Het gaat over werkdruk, over eigenaarschap, of over een eerdere ervaring. Zolang dat niet benoembaar is, blijft u argumenten weerleggen die niet de reden zijn.</w:t>
      </w:r>
    </w:p>
    <w:p>
      <w:pPr>
        <w:spacing w:after="160" w:line="276"/>
      </w:pPr>
      <w:r>
        <w:rPr>
          <w:b/>
          <w:bCs/>
          <w:color w:val="1F2937"/>
          <w:sz w:val="22"/>
          <w:szCs w:val="22"/>
        </w:rPr>
        <w:t xml:space="preserve">De weerstand bij verandering.</w:t>
      </w:r>
      <w:r>
        <w:rPr>
          <w:color w:val="1F2937"/>
          <w:sz w:val="22"/>
          <w:szCs w:val="22"/>
        </w:rPr>
        <w:t xml:space="preserve"> U stelt een wijziging voor die objectief verstandig is, en er gebeurt niets. Geen tegenspraak, geen actie.</w:t>
      </w:r>
    </w:p>
    <w:p>
      <w:pPr>
        <w:spacing w:after="160" w:line="276"/>
      </w:pPr>
      <w:r>
        <w:rPr>
          <w:i/>
          <w:iCs/>
          <w:color w:val="1F2937"/>
          <w:sz w:val="22"/>
          <w:szCs w:val="22"/>
        </w:rPr>
        <w:t xml:space="preserve">Wat er aan de hand is: </w:t>
      </w:r>
      <w:r>
        <w:rPr>
          <w:color w:val="1F2937"/>
          <w:sz w:val="22"/>
          <w:szCs w:val="22"/>
        </w:rPr>
        <w:t xml:space="preserve">stilzwijgende weerstand. Die is moeilijker dan luide weerstand, want er is niets om op te reageren.</w:t>
      </w:r>
    </w:p>
    <w:p>
      <w:pPr>
        <w:spacing w:after="160" w:line="276"/>
      </w:pPr>
      <w:r>
        <w:rPr>
          <w:b/>
          <w:bCs/>
          <w:color w:val="1F2937"/>
          <w:sz w:val="22"/>
          <w:szCs w:val="22"/>
        </w:rPr>
        <w:t xml:space="preserve">Het besluit dat niet valt.</w:t>
      </w:r>
      <w:r>
        <w:rPr>
          <w:color w:val="1F2937"/>
          <w:sz w:val="22"/>
          <w:szCs w:val="22"/>
        </w:rPr>
        <w:t xml:space="preserve"> De stuurgroep bespreekt uw voorstel voor de derde keer. Iedereen is het eens dat er iets moet gebeuren. Er wordt niets besloten.</w:t>
      </w:r>
    </w:p>
    <w:p>
      <w:pPr>
        <w:spacing w:after="160" w:line="276"/>
      </w:pPr>
      <w:r>
        <w:rPr>
          <w:i/>
          <w:iCs/>
          <w:color w:val="1F2937"/>
          <w:sz w:val="22"/>
          <w:szCs w:val="22"/>
        </w:rPr>
        <w:t xml:space="preserve">Wat er aan de hand is: </w:t>
      </w:r>
      <w:r>
        <w:rPr>
          <w:color w:val="1F2937"/>
          <w:sz w:val="22"/>
          <w:szCs w:val="22"/>
        </w:rPr>
        <w:t xml:space="preserve">meestal ontbreekt duidelijkheid over wie beslist, of is de consequentie van de beslissing voor één van de aanwezigen niet acceptabel — en dat is niet uitgesproken.</w:t>
      </w:r>
    </w:p>
    <w:p>
      <w:pPr>
        <w:spacing w:after="160" w:line="276"/>
      </w:pPr>
      <w:r>
        <w:rPr>
          <w:b/>
          <w:bCs/>
          <w:color w:val="1F2937"/>
          <w:sz w:val="22"/>
          <w:szCs w:val="22"/>
        </w:rPr>
        <w:t xml:space="preserve">Wat deze vier delen: </w:t>
      </w:r>
      <w:r>
        <w:rPr>
          <w:color w:val="1F2937"/>
          <w:sz w:val="22"/>
          <w:szCs w:val="22"/>
        </w:rPr>
        <w:t xml:space="preserve">in geen van de vier is meer inhoudelijke kennis de oplossing. Dat is voor architecten de moeilijkste vaststelling van dit deel.</w:t>
      </w:r>
    </w:p>
    <w:p>
      <w:pPr>
        <w:pStyle w:val="Heading1"/>
        <w:pBdr>
          <w:bottom w:val="single" w:color="E5E7EB" w:sz="6" w:space="6"/>
        </w:pBdr>
        <w:spacing w:after="180" w:before="380"/>
      </w:pPr>
      <w:r>
        <w:rPr>
          <w:b/>
          <w:bCs/>
          <w:color w:val="1F3A5F"/>
          <w:sz w:val="30"/>
          <w:szCs w:val="30"/>
        </w:rPr>
        <w:t xml:space="preserve">20.2 Modereren</w:t>
      </w:r>
    </w:p>
    <w:p>
      <w:pPr>
        <w:spacing w:after="160" w:line="276"/>
      </w:pPr>
      <w:r>
        <w:rPr>
          <w:color w:val="1F2937"/>
          <w:sz w:val="22"/>
          <w:szCs w:val="22"/>
        </w:rPr>
        <w:t xml:space="preserve">Modereren is het leiden van een gesprek zonder er inhoudelijk aan deel te nemen. Voor een architect is dat lastig, omdat hij vrijwel altijd ook inhoudelijk iets vindt.</w:t>
      </w:r>
    </w:p>
    <w:p>
      <w:pPr>
        <w:spacing w:after="160" w:line="276"/>
      </w:pPr>
      <w:r>
        <w:rPr>
          <w:b/>
          <w:bCs/>
          <w:color w:val="1F2937"/>
          <w:sz w:val="22"/>
          <w:szCs w:val="22"/>
        </w:rPr>
        <w:t xml:space="preserve">De eerste vraag is daarom: bent u moderator of deelnemer?</w:t>
      </w:r>
      <w:r>
        <w:rPr>
          <w:color w:val="1F2937"/>
          <w:sz w:val="22"/>
          <w:szCs w:val="22"/>
        </w:rPr>
        <w:t xml:space="preserve"> U kunt niet beide zijn, en de poging kost u allebei de rollen — de groep vertrouwt uw procesleiding niet meer zodra u een inhoudelijke voorkeur laat blijken.</w:t>
      </w:r>
    </w:p>
    <w:p>
      <w:pPr>
        <w:spacing w:after="160" w:line="276"/>
      </w:pPr>
      <w:r>
        <w:rPr>
          <w:b/>
          <w:bCs/>
          <w:color w:val="1F2937"/>
          <w:sz w:val="22"/>
          <w:szCs w:val="22"/>
        </w:rPr>
        <w:t xml:space="preserve">Als u moderator bent, zijn dit de vier interventies die het meest opleveren:</w:t>
      </w:r>
      <w:r>
        <w:rPr>
          <w:color w:val="1F2937"/>
          <w:sz w:val="22"/>
          <w:szCs w:val="22"/>
        </w:rPr>
        <w:t xml:space="preserve"/>
      </w:r>
    </w:p>
    <w:p>
      <w:pPr>
        <w:pStyle w:val="ListParagraph"/>
        <w:numPr>
          <w:ilvl w:val="0"/>
          <w:numId w:val="3"/>
        </w:numPr>
        <w:spacing w:after="120"/>
      </w:pPr>
      <w:r>
        <w:rPr>
          <w:b/>
          <w:bCs/>
          <w:color w:val="1F2937"/>
          <w:sz w:val="22"/>
          <w:szCs w:val="22"/>
        </w:rPr>
        <w:t xml:space="preserve">Het criterium ophalen.</w:t>
      </w:r>
      <w:r>
        <w:rPr>
          <w:color w:val="1F2937"/>
          <w:sz w:val="22"/>
          <w:szCs w:val="22"/>
        </w:rPr>
        <w:t xml:space="preserve"> “Waar meten we dit aan af?” Bij de vastgelopen discussie is dit doorgaans voldoende: zodra het criterium op tafel ligt, blijkt vaak dat één van beide opties er beter op scoort, of dat het criterium ontbreekt en de discussie voorbarig is.</w:t>
      </w:r>
    </w:p>
    <w:p>
      <w:pPr>
        <w:pStyle w:val="ListParagraph"/>
        <w:numPr>
          <w:ilvl w:val="0"/>
          <w:numId w:val="3"/>
        </w:numPr>
        <w:spacing w:after="120"/>
      </w:pPr>
      <w:r>
        <w:rPr>
          <w:b/>
          <w:bCs/>
          <w:color w:val="1F2937"/>
          <w:sz w:val="22"/>
          <w:szCs w:val="22"/>
        </w:rPr>
        <w:t xml:space="preserve">Samenvatten en teruggeven.</w:t>
      </w:r>
      <w:r>
        <w:rPr>
          <w:color w:val="1F2937"/>
          <w:sz w:val="22"/>
          <w:szCs w:val="22"/>
        </w:rPr>
        <w:t xml:space="preserve"> “Als ik het goed begrijp, zegt A dat X en B dat Y — klopt dat?” Dit vertraagt en het maakt zichtbaar of men elkaar begrijpt. In vastgelopen discussies blijkt regelmatig dat men het over verschillende dingen heeft.</w:t>
      </w:r>
    </w:p>
    <w:p>
      <w:pPr>
        <w:pStyle w:val="ListParagraph"/>
        <w:numPr>
          <w:ilvl w:val="0"/>
          <w:numId w:val="3"/>
        </w:numPr>
        <w:spacing w:after="120"/>
      </w:pPr>
      <w:r>
        <w:rPr>
          <w:b/>
          <w:bCs/>
          <w:color w:val="1F2937"/>
          <w:sz w:val="22"/>
          <w:szCs w:val="22"/>
        </w:rPr>
        <w:t xml:space="preserve">De vraag verplaatsen.</w:t>
      </w:r>
      <w:r>
        <w:rPr>
          <w:color w:val="1F2937"/>
          <w:sz w:val="22"/>
          <w:szCs w:val="22"/>
        </w:rPr>
        <w:t xml:space="preserve"> “Wat zou er moeten gelden om jouw optie de juiste te maken?” Dit haalt mensen uit hun stelling en brengt de aannames boven.</w:t>
      </w:r>
    </w:p>
    <w:p>
      <w:pPr>
        <w:pStyle w:val="ListParagraph"/>
        <w:numPr>
          <w:ilvl w:val="0"/>
          <w:numId w:val="3"/>
        </w:numPr>
        <w:spacing w:after="120"/>
      </w:pPr>
      <w:r>
        <w:rPr>
          <w:b/>
          <w:bCs/>
          <w:color w:val="1F2937"/>
          <w:sz w:val="22"/>
          <w:szCs w:val="22"/>
        </w:rPr>
        <w:t xml:space="preserve">Benoemen wat u ziet.</w:t>
      </w:r>
      <w:r>
        <w:rPr>
          <w:color w:val="1F2937"/>
          <w:sz w:val="22"/>
          <w:szCs w:val="22"/>
        </w:rPr>
        <w:t xml:space="preserve"> “Ik merk dat we hier lang over praten terwijl niemand van standpunt verandert — wat maakt dit lastig?” Dit is de zwaarste interventie en zij werkt alleen als u haar neutraal formuleert.</w:t>
      </w:r>
    </w:p>
    <w:p>
      <w:pPr>
        <w:spacing w:after="160" w:line="276"/>
      </w:pPr>
      <w:r>
        <w:rPr>
          <w:b/>
          <w:bCs/>
          <w:color w:val="1F2937"/>
          <w:sz w:val="22"/>
          <w:szCs w:val="22"/>
        </w:rPr>
        <w:t xml:space="preserve">Wat u niet doet als moderator: </w:t>
      </w:r>
      <w:r>
        <w:rPr>
          <w:color w:val="1F2937"/>
          <w:sz w:val="22"/>
          <w:szCs w:val="22"/>
        </w:rPr>
        <w:t xml:space="preserve">het antwoord geven. Ook niet als u het weet, en zeker niet als u het weet. Zodra u dat doet, is de discussie voorbij en heeft de groep niets geleerd — en de volgende keer wachten zij tot u het zegt.</w:t>
      </w:r>
    </w:p>
    <w:p>
      <w:pPr>
        <w:spacing w:after="160" w:line="276"/>
      </w:pPr>
      <w:r>
        <w:rPr>
          <w:b/>
          <w:bCs/>
          <w:color w:val="1F2937"/>
          <w:sz w:val="22"/>
          <w:szCs w:val="22"/>
        </w:rPr>
        <w:t xml:space="preserve">Wanneer u wél deelnemer moet zijn, </w:t>
      </w:r>
      <w:r>
        <w:rPr>
          <w:color w:val="1F2937"/>
          <w:sz w:val="22"/>
          <w:szCs w:val="22"/>
        </w:rPr>
        <w:t xml:space="preserve">laat u het modereren aan een ander en zegt u dat expliciet: “ik heb hier een mening over, dus ik doe even mee — wil jij het gesprek leiden?” Dat is geen zwakte maar zuiverheid.</w:t>
      </w:r>
    </w:p>
    <w:p>
      <w:pPr>
        <w:pStyle w:val="Heading1"/>
        <w:pBdr>
          <w:bottom w:val="single" w:color="E5E7EB" w:sz="6" w:space="6"/>
        </w:pBdr>
        <w:spacing w:after="180" w:before="380"/>
      </w:pPr>
      <w:r>
        <w:rPr>
          <w:b/>
          <w:bCs/>
          <w:color w:val="1F3A5F"/>
          <w:sz w:val="30"/>
          <w:szCs w:val="30"/>
        </w:rPr>
        <w:t xml:space="preserve">20.3 Het verhulde meningsverschil</w:t>
      </w:r>
    </w:p>
    <w:p>
      <w:pPr>
        <w:spacing w:after="160" w:line="276"/>
      </w:pPr>
      <w:r>
        <w:rPr>
          <w:color w:val="1F2937"/>
          <w:sz w:val="22"/>
          <w:szCs w:val="22"/>
        </w:rPr>
        <w:t xml:space="preserve">Dit is de moeilijkste van de vier situaties en de meest voorkomende.</w:t>
      </w:r>
    </w:p>
    <w:p>
      <w:pPr>
        <w:spacing w:after="160" w:line="276"/>
      </w:pPr>
      <w:r>
        <w:rPr>
          <w:b/>
          <w:bCs/>
          <w:color w:val="1F2937"/>
          <w:sz w:val="22"/>
          <w:szCs w:val="22"/>
        </w:rPr>
        <w:t xml:space="preserve">Het signaal: </w:t>
      </w:r>
      <w:r>
        <w:rPr>
          <w:color w:val="1F2937"/>
          <w:sz w:val="22"/>
          <w:szCs w:val="22"/>
        </w:rPr>
        <w:t xml:space="preserve">de argumenten verschuiven. Weerlegt u het prestatieargument, dan komt het onderhoudsargument; weerlegt u dat, dan komt de leverancier.</w:t>
      </w:r>
    </w:p>
    <w:p>
      <w:pPr>
        <w:spacing w:after="160" w:line="276"/>
      </w:pPr>
      <w:r>
        <w:rPr>
          <w:b/>
          <w:bCs/>
          <w:color w:val="1F2937"/>
          <w:sz w:val="22"/>
          <w:szCs w:val="22"/>
        </w:rPr>
        <w:t xml:space="preserve">Verschuivende argumenten betekenen dat u het werkelijke bezwaar niet hebt geraakt.</w:t>
      </w:r>
      <w:r>
        <w:rPr>
          <w:color w:val="1F2937"/>
          <w:sz w:val="22"/>
          <w:szCs w:val="22"/>
        </w:rPr>
        <w:t xml:space="preserve"/>
      </w:r>
    </w:p>
    <w:p>
      <w:pPr>
        <w:spacing w:after="160" w:line="276"/>
      </w:pPr>
      <w:r>
        <w:rPr>
          <w:color w:val="1F2937"/>
          <w:sz w:val="22"/>
          <w:szCs w:val="22"/>
        </w:rPr>
        <w:t xml:space="preserve">Wat er meestal achter zit:</w:t>
      </w:r>
    </w:p>
    <w:p>
      <w:pPr>
        <w:pStyle w:val="ListParagraph"/>
        <w:numPr>
          <w:ilvl w:val="0"/>
          <w:numId w:val="4"/>
        </w:numPr>
        <w:spacing w:after="100"/>
      </w:pPr>
      <w:r>
        <w:rPr>
          <w:b/>
          <w:bCs/>
          <w:color w:val="1F2937"/>
          <w:sz w:val="22"/>
          <w:szCs w:val="22"/>
        </w:rPr>
        <w:t xml:space="preserve">Werkdruk.</w:t>
      </w:r>
      <w:r>
        <w:rPr>
          <w:color w:val="1F2937"/>
          <w:sz w:val="22"/>
          <w:szCs w:val="22"/>
        </w:rPr>
        <w:t xml:space="preserve"> Uw voorstel betekent extra werk voor een team dat al vol zit. Het technische bezwaar is een beleefde vorm.</w:t>
      </w:r>
    </w:p>
    <w:p>
      <w:pPr>
        <w:pStyle w:val="ListParagraph"/>
        <w:numPr>
          <w:ilvl w:val="0"/>
          <w:numId w:val="4"/>
        </w:numPr>
        <w:spacing w:after="100"/>
      </w:pPr>
      <w:r>
        <w:rPr>
          <w:b/>
          <w:bCs/>
          <w:color w:val="1F2937"/>
          <w:sz w:val="22"/>
          <w:szCs w:val="22"/>
        </w:rPr>
        <w:t xml:space="preserve">Eigenaarschap.</w:t>
      </w:r>
      <w:r>
        <w:rPr>
          <w:color w:val="1F2937"/>
          <w:sz w:val="22"/>
          <w:szCs w:val="22"/>
        </w:rPr>
        <w:t xml:space="preserve"> Uw voorstel raakt iets waar iemand trots op is, of neemt een beslissing weg die van hem was.</w:t>
      </w:r>
    </w:p>
    <w:p>
      <w:pPr>
        <w:pStyle w:val="ListParagraph"/>
        <w:numPr>
          <w:ilvl w:val="0"/>
          <w:numId w:val="4"/>
        </w:numPr>
        <w:spacing w:after="100"/>
      </w:pPr>
      <w:r>
        <w:rPr>
          <w:b/>
          <w:bCs/>
          <w:color w:val="1F2937"/>
          <w:sz w:val="22"/>
          <w:szCs w:val="22"/>
        </w:rPr>
        <w:t xml:space="preserve">Eerdere ervaring.</w:t>
      </w:r>
      <w:r>
        <w:rPr>
          <w:color w:val="1F2937"/>
          <w:sz w:val="22"/>
          <w:szCs w:val="22"/>
        </w:rPr>
        <w:t xml:space="preserve"> Iemand heeft dit eerder geprobeerd en het ging mis. Zolang dat niet is gedeeld, lijkt het bezwaar irrationeel.</w:t>
      </w:r>
    </w:p>
    <w:p>
      <w:pPr>
        <w:pStyle w:val="ListParagraph"/>
        <w:numPr>
          <w:ilvl w:val="0"/>
          <w:numId w:val="4"/>
        </w:numPr>
        <w:spacing w:after="100"/>
      </w:pPr>
      <w:r>
        <w:rPr>
          <w:b/>
          <w:bCs/>
          <w:color w:val="1F2937"/>
          <w:sz w:val="22"/>
          <w:szCs w:val="22"/>
        </w:rPr>
        <w:t xml:space="preserve">Onbegrip dat men niet wil tonen.</w:t>
      </w:r>
      <w:r>
        <w:rPr>
          <w:color w:val="1F2937"/>
          <w:sz w:val="22"/>
          <w:szCs w:val="22"/>
        </w:rPr>
        <w:t xml:space="preserve"> Het voorstel wordt niet begrepen, en vragen voelt riskant.</w:t>
      </w:r>
    </w:p>
    <w:p>
      <w:pPr>
        <w:spacing w:after="160" w:line="276"/>
      </w:pPr>
      <w:r>
        <w:rPr>
          <w:b/>
          <w:bCs/>
          <w:color w:val="1F2937"/>
          <w:sz w:val="22"/>
          <w:szCs w:val="22"/>
        </w:rPr>
        <w:t xml:space="preserve">Wat werkt: </w:t>
      </w:r>
      <w:r>
        <w:rPr>
          <w:color w:val="1F2937"/>
          <w:sz w:val="22"/>
          <w:szCs w:val="22"/>
        </w:rPr>
        <w:t xml:space="preserve">het gesprek verleggen zonder het bezwaar af te doen.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60" w:line="276"/>
            </w:pPr>
            <w:r>
              <w:rPr>
                <w:i/>
                <w:iCs/>
                <w:color w:val="1F2937"/>
                <w:sz w:val="21"/>
                <w:szCs w:val="21"/>
              </w:rPr>
              <w:t xml:space="preserve">“Ik heb het gevoel dat we hier niet uitkomen op de argumenten. Los van de techniek: wat zou er in jouw situatie moeten veranderen om dit werkbaar te maken?”</w:t>
            </w:r>
          </w:p>
        </w:tc>
      </w:tr>
    </w:tbl>
    <w:p>
      <w:pPr>
        <w:spacing w:after="300"/>
      </w:pPr>
    </w:p>
    <w:p>
      <w:pPr>
        <w:spacing w:after="160" w:line="276"/>
      </w:pPr>
      <w:r>
        <w:rPr>
          <w:color w:val="1F2937"/>
          <w:sz w:val="22"/>
          <w:szCs w:val="22"/>
        </w:rPr>
        <w:t xml:space="preserve">Deze formulering doet drie dingen: zij erkent dat er iets is, zij ontslaat de ander van de verplichting een technisch argument te vinden, en zij vraagt naar de oplossing in plaats van naar het probleem.</w:t>
      </w:r>
    </w:p>
    <w:p>
      <w:pPr>
        <w:spacing w:after="160" w:line="276"/>
      </w:pPr>
      <w:r>
        <w:rPr>
          <w:b/>
          <w:bCs/>
          <w:color w:val="1F2937"/>
          <w:sz w:val="22"/>
          <w:szCs w:val="22"/>
        </w:rPr>
        <w:t xml:space="preserve">Wat niet werkt: </w:t>
      </w:r>
      <w:r>
        <w:rPr>
          <w:color w:val="1F2937"/>
          <w:sz w:val="22"/>
          <w:szCs w:val="22"/>
        </w:rPr>
        <w:t xml:space="preserve">doorgaan met weerleggen. U wint dan uiteindelijk elk argument en verliest het besluit — want het bezwaar is er nog steeds, alleen niet meer uitgesproken. Dat is hoe stilzwijgende weerstand ontstaat.</w:t>
      </w:r>
    </w:p>
    <w:p>
      <w:pPr>
        <w:spacing w:after="160" w:line="276"/>
      </w:pPr>
      <w:r>
        <w:rPr>
          <w:b/>
          <w:bCs/>
          <w:color w:val="1F2937"/>
          <w:sz w:val="22"/>
          <w:szCs w:val="22"/>
        </w:rPr>
        <w:t xml:space="preserve">Wat ook niet werkt: </w:t>
      </w:r>
      <w:r>
        <w:rPr>
          <w:color w:val="1F2937"/>
          <w:sz w:val="22"/>
          <w:szCs w:val="22"/>
        </w:rPr>
        <w:t xml:space="preserve">het benoemen als “je hebt eigenlijk een ander bezwaar”. Dat klinkt als een beschuldiging van onoprechtheid, ook als het klopt.</w:t>
      </w:r>
    </w:p>
    <w:p>
      <w:pPr>
        <w:pStyle w:val="Heading1"/>
        <w:pBdr>
          <w:bottom w:val="single" w:color="E5E7EB" w:sz="6" w:space="6"/>
        </w:pBdr>
        <w:spacing w:after="180" w:before="380"/>
      </w:pPr>
      <w:r>
        <w:rPr>
          <w:b/>
          <w:bCs/>
          <w:color w:val="1F3A5F"/>
          <w:sz w:val="30"/>
          <w:szCs w:val="30"/>
        </w:rPr>
        <w:t xml:space="preserve">20.4 Argumenteren</w:t>
      </w:r>
    </w:p>
    <w:p>
      <w:pPr>
        <w:spacing w:after="160" w:line="276"/>
      </w:pPr>
      <w:r>
        <w:rPr>
          <w:color w:val="1F2937"/>
          <w:sz w:val="22"/>
          <w:szCs w:val="22"/>
        </w:rPr>
        <w:t xml:space="preserve">Een architectuurargument bestaat uit drie delen, en het faalt vrijwel altijd op het derde.</w:t>
      </w:r>
    </w:p>
    <w:p>
      <w:pPr>
        <w:pStyle w:val="ListParagraph"/>
        <w:numPr>
          <w:ilvl w:val="0"/>
          <w:numId w:val="5"/>
        </w:numPr>
        <w:spacing w:after="120"/>
      </w:pPr>
      <w:r>
        <w:rPr>
          <w:b/>
          <w:bCs/>
          <w:color w:val="1F2937"/>
          <w:sz w:val="22"/>
          <w:szCs w:val="22"/>
        </w:rPr>
        <w:t xml:space="preserve">De bewering.</w:t>
      </w:r>
      <w:r>
        <w:rPr>
          <w:color w:val="1F2937"/>
          <w:sz w:val="22"/>
          <w:szCs w:val="22"/>
        </w:rPr>
        <w:t xml:space="preserve"> Wat u vindt.</w:t>
      </w:r>
    </w:p>
    <w:p>
      <w:pPr>
        <w:pStyle w:val="ListParagraph"/>
        <w:numPr>
          <w:ilvl w:val="0"/>
          <w:numId w:val="5"/>
        </w:numPr>
        <w:spacing w:after="120"/>
      </w:pPr>
      <w:r>
        <w:rPr>
          <w:b/>
          <w:bCs/>
          <w:color w:val="1F2937"/>
          <w:sz w:val="22"/>
          <w:szCs w:val="22"/>
        </w:rPr>
        <w:t xml:space="preserve">De grond.</w:t>
      </w:r>
      <w:r>
        <w:rPr>
          <w:color w:val="1F2937"/>
          <w:sz w:val="22"/>
          <w:szCs w:val="22"/>
        </w:rPr>
        <w:t xml:space="preserve"> Waarop het berust — een meting, een eis, een randvoorwaarde.</w:t>
      </w:r>
    </w:p>
    <w:p>
      <w:pPr>
        <w:pStyle w:val="ListParagraph"/>
        <w:numPr>
          <w:ilvl w:val="0"/>
          <w:numId w:val="5"/>
        </w:numPr>
        <w:spacing w:after="120"/>
      </w:pPr>
      <w:r>
        <w:rPr>
          <w:b/>
          <w:bCs/>
          <w:color w:val="1F2937"/>
          <w:sz w:val="22"/>
          <w:szCs w:val="22"/>
        </w:rPr>
        <w:t xml:space="preserve">De verbinding.</w:t>
      </w:r>
      <w:r>
        <w:rPr>
          <w:color w:val="1F2937"/>
          <w:sz w:val="22"/>
          <w:szCs w:val="22"/>
        </w:rPr>
        <w:t xml:space="preserve"> Waarom die grond deze bewering ondersteunt.</w:t>
      </w:r>
    </w:p>
    <w:p>
      <w:pPr>
        <w:spacing w:after="160" w:line="276"/>
      </w:pPr>
      <w:r>
        <w:rPr>
          <w:b/>
          <w:bCs/>
          <w:color w:val="1F2937"/>
          <w:sz w:val="22"/>
          <w:szCs w:val="22"/>
        </w:rPr>
        <w:t xml:space="preserve">Het derde deel wordt meestal weggelaten omdat het voor u vanzelfsprekend is.</w:t>
      </w:r>
      <w:r>
        <w:rPr>
          <w:color w:val="1F2937"/>
          <w:sz w:val="22"/>
          <w:szCs w:val="22"/>
        </w:rPr>
        <w:t xml:space="preserve"> “De doorlooptijd is 90 seconden, dus we moeten asynchroon werken” slaat een stap over: waarom volgt het tweede uit het eerste? Voor u is dat evident; voor de ontvanger is dat het hele argument.</w:t>
      </w:r>
    </w:p>
    <w:p>
      <w:pPr>
        <w:spacing w:after="160" w:line="276"/>
      </w:pPr>
      <w:r>
        <w:rPr>
          <w:b/>
          <w:bCs/>
          <w:color w:val="1F2937"/>
          <w:sz w:val="22"/>
          <w:szCs w:val="22"/>
        </w:rPr>
        <w:t xml:space="preserve">Sterke gronden, in volgorde:</w:t>
      </w:r>
      <w:r>
        <w:rPr>
          <w:color w:val="1F2937"/>
          <w:sz w:val="22"/>
          <w:szCs w:val="22"/>
        </w:rPr>
        <w:t xml:space="preserve"/>
      </w:r>
    </w:p>
    <w:p>
      <w:pPr>
        <w:pStyle w:val="ListParagraph"/>
        <w:numPr>
          <w:ilvl w:val="0"/>
          <w:numId w:val="6"/>
        </w:numPr>
        <w:spacing w:after="120"/>
      </w:pPr>
      <w:r>
        <w:rPr>
          <w:b/>
          <w:bCs/>
          <w:color w:val="1F2937"/>
          <w:sz w:val="22"/>
          <w:szCs w:val="22"/>
        </w:rPr>
        <w:t xml:space="preserve">Een meting.</w:t>
      </w:r>
      <w:r>
        <w:rPr>
          <w:color w:val="1F2937"/>
          <w:sz w:val="22"/>
          <w:szCs w:val="22"/>
        </w:rPr>
        <w:t xml:space="preserve"> Moeilijk te weerleggen, mits de meetopstelling deugt.</w:t>
      </w:r>
    </w:p>
    <w:p>
      <w:pPr>
        <w:pStyle w:val="ListParagraph"/>
        <w:numPr>
          <w:ilvl w:val="0"/>
          <w:numId w:val="6"/>
        </w:numPr>
        <w:spacing w:after="120"/>
      </w:pPr>
      <w:r>
        <w:rPr>
          <w:b/>
          <w:bCs/>
          <w:color w:val="1F2937"/>
          <w:sz w:val="22"/>
          <w:szCs w:val="22"/>
        </w:rPr>
        <w:t xml:space="preserve">Een vastgelegde eis.</w:t>
      </w:r>
      <w:r>
        <w:rPr>
          <w:color w:val="1F2937"/>
          <w:sz w:val="22"/>
          <w:szCs w:val="22"/>
        </w:rPr>
        <w:t xml:space="preserve"> Werkt goed als de eis bestaat; daarom is deel 2 van deze cursus zo belangrijk.</w:t>
      </w:r>
    </w:p>
    <w:p>
      <w:pPr>
        <w:pStyle w:val="ListParagraph"/>
        <w:numPr>
          <w:ilvl w:val="0"/>
          <w:numId w:val="6"/>
        </w:numPr>
        <w:spacing w:after="120"/>
      </w:pPr>
      <w:r>
        <w:rPr>
          <w:b/>
          <w:bCs/>
          <w:color w:val="1F2937"/>
          <w:sz w:val="22"/>
          <w:szCs w:val="22"/>
        </w:rPr>
        <w:t xml:space="preserve">Een randvoorwaarde.</w:t>
      </w:r>
      <w:r>
        <w:rPr>
          <w:color w:val="1F2937"/>
          <w:sz w:val="22"/>
          <w:szCs w:val="22"/>
        </w:rPr>
        <w:t xml:space="preserve"> Feitelijk en verifieerbaar.</w:t>
      </w:r>
    </w:p>
    <w:p>
      <w:pPr>
        <w:pStyle w:val="ListParagraph"/>
        <w:numPr>
          <w:ilvl w:val="0"/>
          <w:numId w:val="6"/>
        </w:numPr>
        <w:spacing w:after="120"/>
      </w:pPr>
      <w:r>
        <w:rPr>
          <w:b/>
          <w:bCs/>
          <w:color w:val="1F2937"/>
          <w:sz w:val="22"/>
          <w:szCs w:val="22"/>
        </w:rPr>
        <w:t xml:space="preserve">Een ervaring.</w:t>
      </w:r>
      <w:r>
        <w:rPr>
          <w:color w:val="1F2937"/>
          <w:sz w:val="22"/>
          <w:szCs w:val="22"/>
        </w:rPr>
        <w:t xml:space="preserve"> Zwakker, want anekdotisch — maar veel sterker dan geen grond.</w:t>
      </w:r>
    </w:p>
    <w:p>
      <w:pPr>
        <w:pStyle w:val="ListParagraph"/>
        <w:numPr>
          <w:ilvl w:val="0"/>
          <w:numId w:val="6"/>
        </w:numPr>
        <w:spacing w:after="120"/>
      </w:pPr>
      <w:r>
        <w:rPr>
          <w:b/>
          <w:bCs/>
          <w:color w:val="1F2937"/>
          <w:sz w:val="22"/>
          <w:szCs w:val="22"/>
        </w:rPr>
        <w:t xml:space="preserve">Een autoriteit.</w:t>
      </w:r>
      <w:r>
        <w:rPr>
          <w:color w:val="1F2937"/>
          <w:sz w:val="22"/>
          <w:szCs w:val="22"/>
        </w:rPr>
        <w:t xml:space="preserve"> Het zwakst, en bij architecten verrassend populair. “Zo doet men het” is geen argument.</w:t>
      </w:r>
    </w:p>
    <w:p>
      <w:pPr>
        <w:spacing w:after="160" w:line="276"/>
      </w:pPr>
      <w:r>
        <w:rPr>
          <w:b/>
          <w:bCs/>
          <w:color w:val="1F2937"/>
          <w:sz w:val="22"/>
          <w:szCs w:val="22"/>
        </w:rPr>
        <w:t xml:space="preserve">De drogredenen die in architectuurdiscussies het vaakst voorkomen:</w:t>
      </w:r>
      <w:r>
        <w:rPr>
          <w:color w:val="1F2937"/>
          <w:sz w:val="22"/>
          <w:szCs w:val="22"/>
        </w:rPr>
        <w:t xml:space="preserve"/>
      </w:r>
    </w:p>
    <w:p>
      <w:pPr>
        <w:pStyle w:val="ListParagraph"/>
        <w:numPr>
          <w:ilvl w:val="0"/>
          <w:numId w:val="4"/>
        </w:numPr>
        <w:spacing w:after="100"/>
      </w:pPr>
      <w:r>
        <w:rPr>
          <w:b/>
          <w:bCs/>
          <w:color w:val="1F2937"/>
          <w:sz w:val="22"/>
          <w:szCs w:val="22"/>
        </w:rPr>
        <w:t xml:space="preserve">Beroep op de norm.</w:t>
      </w:r>
      <w:r>
        <w:rPr>
          <w:color w:val="1F2937"/>
          <w:sz w:val="22"/>
          <w:szCs w:val="22"/>
        </w:rPr>
        <w:t xml:space="preserve"> “Iedereen doet microservices.” Weerlegging: dat is geen grond, dat is een waarneming over anderen.</w:t>
      </w:r>
    </w:p>
    <w:p>
      <w:pPr>
        <w:pStyle w:val="ListParagraph"/>
        <w:numPr>
          <w:ilvl w:val="0"/>
          <w:numId w:val="4"/>
        </w:numPr>
        <w:spacing w:after="100"/>
      </w:pPr>
      <w:r>
        <w:rPr>
          <w:b/>
          <w:bCs/>
          <w:color w:val="1F2937"/>
          <w:sz w:val="22"/>
          <w:szCs w:val="22"/>
        </w:rPr>
        <w:t xml:space="preserve">Valse tweedeling.</w:t>
      </w:r>
      <w:r>
        <w:rPr>
          <w:color w:val="1F2937"/>
          <w:sz w:val="22"/>
          <w:szCs w:val="22"/>
        </w:rPr>
        <w:t xml:space="preserve"> “Of we doen het goed, of we doen het snel.” Bijna altijd zijn er meer opties.</w:t>
      </w:r>
    </w:p>
    <w:p>
      <w:pPr>
        <w:pStyle w:val="ListParagraph"/>
        <w:numPr>
          <w:ilvl w:val="0"/>
          <w:numId w:val="4"/>
        </w:numPr>
        <w:spacing w:after="100"/>
      </w:pPr>
      <w:r>
        <w:rPr>
          <w:b/>
          <w:bCs/>
          <w:color w:val="1F2937"/>
          <w:sz w:val="22"/>
          <w:szCs w:val="22"/>
        </w:rPr>
        <w:t xml:space="preserve">Hellend vlak.</w:t>
      </w:r>
      <w:r>
        <w:rPr>
          <w:color w:val="1F2937"/>
          <w:sz w:val="22"/>
          <w:szCs w:val="22"/>
        </w:rPr>
        <w:t xml:space="preserve"> “Als we hier één uitzondering maken, hebben we straks geen architectuur meer.” Soms waar, meestal een manier om een discussie te vermijden.</w:t>
      </w:r>
    </w:p>
    <w:p>
      <w:pPr>
        <w:pStyle w:val="ListParagraph"/>
        <w:numPr>
          <w:ilvl w:val="0"/>
          <w:numId w:val="4"/>
        </w:numPr>
        <w:spacing w:after="100"/>
      </w:pPr>
      <w:r>
        <w:rPr>
          <w:b/>
          <w:bCs/>
          <w:color w:val="1F2937"/>
          <w:sz w:val="22"/>
          <w:szCs w:val="22"/>
        </w:rPr>
        <w:t xml:space="preserve">Persoonlijk maken.</w:t>
      </w:r>
      <w:r>
        <w:rPr>
          <w:color w:val="1F2937"/>
          <w:sz w:val="22"/>
          <w:szCs w:val="22"/>
        </w:rPr>
        <w:t xml:space="preserve"> “Jij hebt nog nooit een systeem van deze omvang gebouwd.” Ook als het waar is, is het geen argument.</w:t>
      </w:r>
    </w:p>
    <w:p>
      <w:pPr>
        <w:pStyle w:val="ListParagraph"/>
        <w:numPr>
          <w:ilvl w:val="0"/>
          <w:numId w:val="4"/>
        </w:numPr>
        <w:spacing w:after="100"/>
      </w:pPr>
      <w:r>
        <w:rPr>
          <w:b/>
          <w:bCs/>
          <w:color w:val="1F2937"/>
          <w:sz w:val="22"/>
          <w:szCs w:val="22"/>
        </w:rPr>
        <w:t xml:space="preserve">De valse zekerheid.</w:t>
      </w:r>
      <w:r>
        <w:rPr>
          <w:color w:val="1F2937"/>
          <w:sz w:val="22"/>
          <w:szCs w:val="22"/>
        </w:rPr>
        <w:t xml:space="preserve"> Een schatting presenteren als feit. Dit is de drogreden die architecten zelf het meest gebruiken.</w:t>
      </w:r>
    </w:p>
    <w:p>
      <w:pPr>
        <w:spacing w:after="160" w:line="276"/>
      </w:pPr>
      <w:r>
        <w:rPr>
          <w:b/>
          <w:bCs/>
          <w:color w:val="1F2937"/>
          <w:sz w:val="22"/>
          <w:szCs w:val="22"/>
        </w:rPr>
        <w:t xml:space="preserve">Omgaan met een drogreden: </w:t>
      </w:r>
      <w:r>
        <w:rPr>
          <w:color w:val="1F2937"/>
          <w:sz w:val="22"/>
          <w:szCs w:val="22"/>
        </w:rPr>
        <w:t xml:space="preserve">benoem hem niet als drogreden — dat is een aanval. Vraag naar de grond. “Hoe weet je dat?” of “welke andere opties hebben we overwogen?” doet hetzelfde werk zonder de ander in het defensief te zetten.</w:t>
      </w:r>
    </w:p>
    <w:p>
      <w:pPr>
        <w:pStyle w:val="Heading1"/>
        <w:pBdr>
          <w:bottom w:val="single" w:color="E5E7EB" w:sz="6" w:space="6"/>
        </w:pBdr>
        <w:spacing w:after="180" w:before="380"/>
      </w:pPr>
      <w:r>
        <w:rPr>
          <w:b/>
          <w:bCs/>
          <w:color w:val="1F3A5F"/>
          <w:sz w:val="30"/>
          <w:szCs w:val="30"/>
        </w:rPr>
        <w:t xml:space="preserve">20.5 Overtuigen zonder te overtuigen</w:t>
      </w:r>
    </w:p>
    <w:p>
      <w:pPr>
        <w:spacing w:after="160" w:line="276"/>
      </w:pPr>
      <w:r>
        <w:rPr>
          <w:color w:val="1F2937"/>
          <w:sz w:val="22"/>
          <w:szCs w:val="22"/>
        </w:rPr>
        <w:t xml:space="preserve">De reflex bij weerstand is harder duwen. Dat werkt zelden en het beschadigt vaak.</w:t>
      </w:r>
    </w:p>
    <w:p>
      <w:pPr>
        <w:spacing w:after="160" w:line="276"/>
      </w:pPr>
      <w:r>
        <w:rPr>
          <w:b/>
          <w:bCs/>
          <w:color w:val="1F2937"/>
          <w:sz w:val="22"/>
          <w:szCs w:val="22"/>
        </w:rPr>
        <w:t xml:space="preserve">Drie mechanismen die beter werken:</w:t>
      </w:r>
      <w:r>
        <w:rPr>
          <w:color w:val="1F2937"/>
          <w:sz w:val="22"/>
          <w:szCs w:val="22"/>
        </w:rPr>
        <w:t xml:space="preserve"/>
      </w:r>
    </w:p>
    <w:p>
      <w:pPr>
        <w:spacing w:after="160" w:line="276"/>
      </w:pPr>
      <w:r>
        <w:rPr>
          <w:b/>
          <w:bCs/>
          <w:color w:val="1F2937"/>
          <w:sz w:val="22"/>
          <w:szCs w:val="22"/>
        </w:rPr>
        <w:t xml:space="preserve">Laat de ander de conclusie trekken.</w:t>
      </w:r>
      <w:r>
        <w:rPr>
          <w:color w:val="1F2937"/>
          <w:sz w:val="22"/>
          <w:szCs w:val="22"/>
        </w:rPr>
        <w:t xml:space="preserve"> Een conclusie die iemand zelf bereikt, verdedigt hij; een conclusie die u hem geeft, moet u blijven verdedigen. Praktisch: stel de vraag waarvan u het antwoord kent. “Wat gebeurt er met de doorlooptijd als er vijftig gebruikers tegelijk zijn?” werkt beter dan de uitkomst noemen.</w:t>
      </w:r>
    </w:p>
    <w:p>
      <w:pPr>
        <w:spacing w:after="160" w:line="276"/>
      </w:pPr>
      <w:r>
        <w:rPr>
          <w:b/>
          <w:bCs/>
          <w:color w:val="1F2937"/>
          <w:sz w:val="22"/>
          <w:szCs w:val="22"/>
        </w:rPr>
        <w:t xml:space="preserve">Maak de aanname expliciet in plaats van de conclusie.</w:t>
      </w:r>
      <w:r>
        <w:rPr>
          <w:color w:val="1F2937"/>
          <w:sz w:val="22"/>
          <w:szCs w:val="22"/>
        </w:rPr>
        <w:t xml:space="preserve"> Uit deel 19: “ik adviseer dit, ervan uitgaande dat X.” Wie het oneens is, gaat dan over X praten — en dat is een productiever gesprek dan over uw conclusie.</w:t>
      </w:r>
    </w:p>
    <w:p>
      <w:pPr>
        <w:spacing w:after="160" w:line="276"/>
      </w:pPr>
      <w:r>
        <w:rPr>
          <w:b/>
          <w:bCs/>
          <w:color w:val="1F2937"/>
          <w:sz w:val="22"/>
          <w:szCs w:val="22"/>
        </w:rPr>
        <w:t xml:space="preserve">Zoek de kleinste stap.</w:t>
      </w:r>
      <w:r>
        <w:rPr>
          <w:color w:val="1F2937"/>
          <w:sz w:val="22"/>
          <w:szCs w:val="22"/>
        </w:rPr>
        <w:t xml:space="preserve"> Een voorstel dat in één keer moet worden geaccepteerd, roept meer weerstand op dan een proef. “Zullen we het bij één module proberen en over twee sprints kijken?” is moeilijker te weigeren en het levert bovendien gegevens op.</w:t>
      </w:r>
    </w:p>
    <w:p>
      <w:pPr>
        <w:spacing w:after="160" w:line="276"/>
      </w:pPr>
      <w:r>
        <w:rPr>
          <w:b/>
          <w:bCs/>
          <w:color w:val="1F2937"/>
          <w:sz w:val="22"/>
          <w:szCs w:val="22"/>
        </w:rPr>
        <w:t xml:space="preserve">Wanneer u niet moet overtuigen.</w:t>
      </w:r>
      <w:r>
        <w:rPr>
          <w:color w:val="1F2937"/>
          <w:sz w:val="22"/>
          <w:szCs w:val="22"/>
        </w:rPr>
        <w:t xml:space="preserve"> Er zijn situaties waarin doorduwen schadelijker is dan verliezen:</w:t>
      </w:r>
    </w:p>
    <w:p>
      <w:pPr>
        <w:pStyle w:val="ListParagraph"/>
        <w:numPr>
          <w:ilvl w:val="0"/>
          <w:numId w:val="4"/>
        </w:numPr>
        <w:spacing w:after="100"/>
      </w:pPr>
      <w:r>
        <w:rPr>
          <w:b/>
          <w:bCs/>
          <w:color w:val="1F2937"/>
          <w:sz w:val="22"/>
          <w:szCs w:val="22"/>
        </w:rPr>
        <w:t xml:space="preserve">Als u het mis kunt hebben.</w:t>
      </w:r>
      <w:r>
        <w:rPr>
          <w:color w:val="1F2937"/>
          <w:sz w:val="22"/>
          <w:szCs w:val="22"/>
        </w:rPr>
        <w:t xml:space="preserve"> Dat komt vaker voor dan comfortabel is.</w:t>
      </w:r>
    </w:p>
    <w:p>
      <w:pPr>
        <w:pStyle w:val="ListParagraph"/>
        <w:numPr>
          <w:ilvl w:val="0"/>
          <w:numId w:val="4"/>
        </w:numPr>
        <w:spacing w:after="100"/>
      </w:pPr>
      <w:r>
        <w:rPr>
          <w:b/>
          <w:bCs/>
          <w:color w:val="1F2937"/>
          <w:sz w:val="22"/>
          <w:szCs w:val="22"/>
        </w:rPr>
        <w:t xml:space="preserve">Als de kosten van uw gelijk hoger zijn dan de baten.</w:t>
      </w:r>
      <w:r>
        <w:rPr>
          <w:color w:val="1F2937"/>
          <w:sz w:val="22"/>
          <w:szCs w:val="22"/>
        </w:rPr>
        <w:t xml:space="preserve"> Een architect die elke discussie wint, wordt niet meer geraadpleegd.</w:t>
      </w:r>
    </w:p>
    <w:p>
      <w:pPr>
        <w:pStyle w:val="ListParagraph"/>
        <w:numPr>
          <w:ilvl w:val="0"/>
          <w:numId w:val="4"/>
        </w:numPr>
        <w:spacing w:after="100"/>
      </w:pPr>
      <w:r>
        <w:rPr>
          <w:b/>
          <w:bCs/>
          <w:color w:val="1F2937"/>
          <w:sz w:val="22"/>
          <w:szCs w:val="22"/>
        </w:rPr>
        <w:t xml:space="preserve">Als het besluit niet aan u is.</w:t>
      </w:r>
      <w:r>
        <w:rPr>
          <w:color w:val="1F2937"/>
          <w:sz w:val="22"/>
          <w:szCs w:val="22"/>
        </w:rPr>
        <w:t xml:space="preserve"> Zie 20.6.</w:t>
      </w:r>
    </w:p>
    <w:p>
      <w:pPr>
        <w:spacing w:after="160" w:line="276"/>
      </w:pPr>
      <w:r>
        <w:rPr>
          <w:b/>
          <w:bCs/>
          <w:color w:val="1F2937"/>
          <w:sz w:val="22"/>
          <w:szCs w:val="22"/>
        </w:rPr>
        <w:t xml:space="preserve">De vaardigheid die het meest onderschat wordt, is verliezen zonder te beschadigen.</w:t>
      </w:r>
      <w:r>
        <w:rPr>
          <w:color w:val="1F2937"/>
          <w:sz w:val="22"/>
          <w:szCs w:val="22"/>
        </w:rPr>
        <w:t xml:space="preserve"> “Ik ben het er niet mee eens, en het is jouw beslissing — ik noteer mijn bezwaar en ik ga meewerken” is een houding die uw positie versterkt in plaats van verzwakt. Wie altijd wint, wordt vermeden; wie kan verliezen, wordt gevraagd.</w:t>
      </w:r>
    </w:p>
    <w:p>
      <w:pPr>
        <w:pStyle w:val="Heading1"/>
        <w:pBdr>
          <w:bottom w:val="single" w:color="E5E7EB" w:sz="6" w:space="6"/>
        </w:pBdr>
        <w:spacing w:after="180" w:before="380"/>
      </w:pPr>
      <w:r>
        <w:rPr>
          <w:b/>
          <w:bCs/>
          <w:color w:val="1F3A5F"/>
          <w:sz w:val="30"/>
          <w:szCs w:val="30"/>
        </w:rPr>
        <w:t xml:space="preserve">20.6 Doorzetten, meebewegen, escaleren</w:t>
      </w:r>
    </w:p>
    <w:p>
      <w:pPr>
        <w:spacing w:after="160" w:line="276"/>
      </w:pPr>
      <w:r>
        <w:rPr>
          <w:color w:val="1F2937"/>
          <w:sz w:val="22"/>
          <w:szCs w:val="22"/>
        </w:rPr>
        <w:t xml:space="preserve">Uiteindelijk komt elke architect in de situatie dat hij het oneens is met een besluit. Er zijn drie geldige reacties en één ongeldige.</w:t>
      </w:r>
    </w:p>
    <w:p>
      <w:pPr>
        <w:spacing w:after="160" w:line="276"/>
      </w:pPr>
      <w:r>
        <w:rPr>
          <w:b/>
          <w:bCs/>
          <w:color w:val="1F2937"/>
          <w:sz w:val="22"/>
          <w:szCs w:val="22"/>
        </w:rPr>
        <w:t xml:space="preserve">Doorzetten.</w:t>
      </w:r>
      <w:r>
        <w:rPr>
          <w:color w:val="1F2937"/>
          <w:sz w:val="22"/>
          <w:szCs w:val="22"/>
        </w:rPr>
        <w:t xml:space="preserve"> U blijft het punt maken, met nieuwe gronden. Verdedigbaar zolang u nieuwe informatie inbrengt; wie hetzelfde argument voor de derde keer herhaalt, wordt genegeerd.</w:t>
      </w:r>
    </w:p>
    <w:p>
      <w:pPr>
        <w:spacing w:after="160" w:line="276"/>
      </w:pPr>
      <w:r>
        <w:rPr>
          <w:b/>
          <w:bCs/>
          <w:color w:val="1F2937"/>
          <w:sz w:val="22"/>
          <w:szCs w:val="22"/>
        </w:rPr>
        <w:t xml:space="preserve">Meebewegen — met vastlegging.</w:t>
      </w:r>
      <w:r>
        <w:rPr>
          <w:color w:val="1F2937"/>
          <w:sz w:val="22"/>
          <w:szCs w:val="22"/>
        </w:rPr>
        <w:t xml:space="preserve"> U accepteert het besluit en legt uw bezwaar vast, met de gevolgen zoals u ze inschat. Dat is geen indekken maar informatie: over twee jaar wil iemand weten of dit voorzien was.</w:t>
      </w:r>
    </w:p>
    <w:p>
      <w:pPr>
        <w:spacing w:after="160" w:line="276"/>
      </w:pPr>
      <w:r>
        <w:rPr>
          <w:b/>
          <w:bCs/>
          <w:color w:val="1F2937"/>
          <w:sz w:val="22"/>
          <w:szCs w:val="22"/>
        </w:rPr>
        <w:t xml:space="preserve">Escaleren.</w:t>
      </w:r>
      <w:r>
        <w:rPr>
          <w:color w:val="1F2937"/>
          <w:sz w:val="22"/>
          <w:szCs w:val="22"/>
        </w:rPr>
        <w:t xml:space="preserve"> U legt het voor aan een hoger niveau. Verdedigbaar wanneer het besluit buiten het mandaat van de beslisser valt, of wanneer de consequenties zwaarder zijn dan het niveau waarop besloten wordt.</w:t>
      </w:r>
    </w:p>
    <w:p>
      <w:pPr>
        <w:spacing w:after="160" w:line="276"/>
      </w:pPr>
      <w:r>
        <w:rPr>
          <w:b/>
          <w:bCs/>
          <w:color w:val="1F2937"/>
          <w:sz w:val="22"/>
          <w:szCs w:val="22"/>
        </w:rPr>
        <w:t xml:space="preserve">Wat niet geldig is: stil verzet.</w:t>
      </w:r>
      <w:r>
        <w:rPr>
          <w:color w:val="1F2937"/>
          <w:sz w:val="22"/>
          <w:szCs w:val="22"/>
        </w:rPr>
        <w:t xml:space="preserve"> Meewerken en ondertussen vertragen, of het besluit uitvoeren op een manier waarvan u weet dat hij faalt. Dat komt voor, het is menselijk, en het is de enige van de vier die het vertrouwen structureel beschadigt.</w:t>
      </w:r>
    </w:p>
    <w:p>
      <w:pPr>
        <w:spacing w:after="160" w:line="276"/>
      </w:pPr>
      <w:r>
        <w:rPr>
          <w:b/>
          <w:bCs/>
          <w:color w:val="1F2937"/>
          <w:sz w:val="22"/>
          <w:szCs w:val="22"/>
        </w:rPr>
        <w:t xml:space="preserve">Wanneer escaleert u?</w:t>
      </w:r>
      <w:r>
        <w:rPr>
          <w:color w:val="1F2937"/>
          <w:sz w:val="22"/>
          <w:szCs w:val="22"/>
        </w:rPr>
        <w:t xml:space="preserve"> Drie voorwaarden, en alle drie moeten gelden:</w:t>
      </w:r>
    </w:p>
    <w:p>
      <w:pPr>
        <w:pStyle w:val="ListParagraph"/>
        <w:numPr>
          <w:ilvl w:val="0"/>
          <w:numId w:val="7"/>
        </w:numPr>
        <w:spacing w:after="120"/>
      </w:pPr>
      <w:r>
        <w:rPr>
          <w:color w:val="1F2937"/>
          <w:sz w:val="22"/>
          <w:szCs w:val="22"/>
        </w:rPr>
        <w:t xml:space="preserve">Het gevolg is ernstig en niet omkeerbaar.</w:t>
      </w:r>
    </w:p>
    <w:p>
      <w:pPr>
        <w:pStyle w:val="ListParagraph"/>
        <w:numPr>
          <w:ilvl w:val="0"/>
          <w:numId w:val="7"/>
        </w:numPr>
        <w:spacing w:after="120"/>
      </w:pPr>
      <w:r>
        <w:rPr>
          <w:color w:val="1F2937"/>
          <w:sz w:val="22"/>
          <w:szCs w:val="22"/>
        </w:rPr>
        <w:t xml:space="preserve">U hebt het op het huidige niveau geprobeerd en het is niet gelukt.</w:t>
      </w:r>
    </w:p>
    <w:p>
      <w:pPr>
        <w:pStyle w:val="ListParagraph"/>
        <w:numPr>
          <w:ilvl w:val="0"/>
          <w:numId w:val="7"/>
        </w:numPr>
        <w:spacing w:after="120"/>
      </w:pPr>
      <w:r>
        <w:rPr>
          <w:color w:val="1F2937"/>
          <w:sz w:val="22"/>
          <w:szCs w:val="22"/>
        </w:rPr>
        <w:t xml:space="preserve">U kunt het uitleggen zonder de beslisser te beschadigen.</w:t>
      </w:r>
    </w:p>
    <w:p>
      <w:pPr>
        <w:spacing w:after="160" w:line="276"/>
      </w:pPr>
      <w:r>
        <w:rPr>
          <w:b/>
          <w:bCs/>
          <w:color w:val="1F2937"/>
          <w:sz w:val="22"/>
          <w:szCs w:val="22"/>
        </w:rPr>
        <w:t xml:space="preserve">Die derde voorwaarde is de moeilijkste en zij is niet optioneel.</w:t>
      </w:r>
      <w:r>
        <w:rPr>
          <w:color w:val="1F2937"/>
          <w:sz w:val="22"/>
          <w:szCs w:val="22"/>
        </w:rPr>
        <w:t xml:space="preserve"> Escaleren over het hoofd van iemand heen kost u die relatie, en u hebt hem morgen nog nodig. De werkbare vorm is escaleren mét de beslisser: “wij komen er niet uit; zullen we het samen voorleggen?”</w:t>
      </w:r>
    </w:p>
    <w:p>
      <w:pPr>
        <w:spacing w:after="160" w:line="276"/>
      </w:pPr>
      <w:r>
        <w:rPr>
          <w:b/>
          <w:bCs/>
          <w:color w:val="1F2937"/>
          <w:sz w:val="22"/>
          <w:szCs w:val="22"/>
        </w:rPr>
        <w:t xml:space="preserve">En de grens van uw rol.</w:t>
      </w:r>
      <w:r>
        <w:rPr>
          <w:color w:val="1F2937"/>
          <w:sz w:val="22"/>
          <w:szCs w:val="22"/>
        </w:rPr>
        <w:t xml:space="preserve"> Uit deel 14, 15 en 16: sommige besluiten zijn niet aan u. De risicobereidheid van de organisatie, de afweging tussen fraude en toegankelijkheid, de vraag wat een acceptabele bewaartermijn is — dat zijn bestuurlijke beslissingen. Uw taak is ze scherp voorleggen, niet ze nemen. Een architect die dat onderscheid niet maakt, wordt terecht gecorrigeerd; een architect die het wel maakt, krijgt gehoor op de punten waar hij wél over gaat.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4"/>
        </w:numPr>
        <w:spacing w:after="100"/>
      </w:pPr>
      <w:r>
        <w:rPr>
          <w:color w:val="1F2937"/>
          <w:sz w:val="22"/>
          <w:szCs w:val="22"/>
        </w:rPr>
        <w:t xml:space="preserve">Vier situaties waarin architecten terechtkomen — de vastgelopen discussie, het verhulde meningsverschil, de stilzwijgende weerstand, het besluit dat niet valt. In geen van vier is meer inhoudelijke kennis de oplossing.</w:t>
      </w:r>
    </w:p>
    <w:p>
      <w:pPr>
        <w:pStyle w:val="ListParagraph"/>
        <w:numPr>
          <w:ilvl w:val="0"/>
          <w:numId w:val="4"/>
        </w:numPr>
        <w:spacing w:after="100"/>
      </w:pPr>
      <w:r>
        <w:rPr>
          <w:color w:val="1F2937"/>
          <w:sz w:val="22"/>
          <w:szCs w:val="22"/>
        </w:rPr>
        <w:t xml:space="preserve">Moderator of deelnemer: kies. De poging beide te zijn kost u allebei de rollen.</w:t>
      </w:r>
    </w:p>
    <w:p>
      <w:pPr>
        <w:pStyle w:val="ListParagraph"/>
        <w:numPr>
          <w:ilvl w:val="0"/>
          <w:numId w:val="4"/>
        </w:numPr>
        <w:spacing w:after="100"/>
      </w:pPr>
      <w:r>
        <w:rPr>
          <w:color w:val="1F2937"/>
          <w:sz w:val="22"/>
          <w:szCs w:val="22"/>
        </w:rPr>
        <w:t xml:space="preserve">Vier interventies: het criterium ophalen, samenvatten en teruggeven, de vraag verplaatsen, benoemen wat u ziet. Geef als moderator niet het antwoord — ook niet als u het weet.</w:t>
      </w:r>
    </w:p>
    <w:p>
      <w:pPr>
        <w:pStyle w:val="ListParagraph"/>
        <w:numPr>
          <w:ilvl w:val="0"/>
          <w:numId w:val="4"/>
        </w:numPr>
        <w:spacing w:after="100"/>
      </w:pPr>
      <w:r>
        <w:rPr>
          <w:color w:val="1F2937"/>
          <w:sz w:val="22"/>
          <w:szCs w:val="22"/>
        </w:rPr>
        <w:t xml:space="preserve">Verschuivende argumenten betekenen dat u het werkelijke bezwaar niet hebt geraakt. Doorgaan met weerleggen wint elk argument en verliest het besluit.</w:t>
      </w:r>
    </w:p>
    <w:p>
      <w:pPr>
        <w:pStyle w:val="ListParagraph"/>
        <w:numPr>
          <w:ilvl w:val="0"/>
          <w:numId w:val="4"/>
        </w:numPr>
        <w:spacing w:after="100"/>
      </w:pPr>
      <w:r>
        <w:rPr>
          <w:color w:val="1F2937"/>
          <w:sz w:val="22"/>
          <w:szCs w:val="22"/>
        </w:rPr>
        <w:t xml:space="preserve">Een argument is bewering, grond en verbinding. De verbinding wordt weggelaten omdat zij voor u vanzelfsprekend is — en zij is voor de ontvanger het hele argument.</w:t>
      </w:r>
    </w:p>
    <w:p>
      <w:pPr>
        <w:pStyle w:val="ListParagraph"/>
        <w:numPr>
          <w:ilvl w:val="0"/>
          <w:numId w:val="4"/>
        </w:numPr>
        <w:spacing w:after="100"/>
      </w:pPr>
      <w:r>
        <w:rPr>
          <w:color w:val="1F2937"/>
          <w:sz w:val="22"/>
          <w:szCs w:val="22"/>
        </w:rPr>
        <w:t xml:space="preserve">De sterkste grond is een meting, dan een vastgelegde eis; de zwakste is autoriteit, en die is bij architecten verrassend populair.</w:t>
      </w:r>
    </w:p>
    <w:p>
      <w:pPr>
        <w:pStyle w:val="ListParagraph"/>
        <w:numPr>
          <w:ilvl w:val="0"/>
          <w:numId w:val="4"/>
        </w:numPr>
        <w:spacing w:after="100"/>
      </w:pPr>
      <w:r>
        <w:rPr>
          <w:color w:val="1F2937"/>
          <w:sz w:val="22"/>
          <w:szCs w:val="22"/>
        </w:rPr>
        <w:t xml:space="preserve">Benoem een drogreden niet als drogreden; vraag naar de grond.</w:t>
      </w:r>
    </w:p>
    <w:p>
      <w:pPr>
        <w:pStyle w:val="ListParagraph"/>
        <w:numPr>
          <w:ilvl w:val="0"/>
          <w:numId w:val="4"/>
        </w:numPr>
        <w:spacing w:after="100"/>
      </w:pPr>
      <w:r>
        <w:rPr>
          <w:color w:val="1F2937"/>
          <w:sz w:val="22"/>
          <w:szCs w:val="22"/>
        </w:rPr>
        <w:t xml:space="preserve">Laat de ander de conclusie trekken, maak de aanname expliciet in plaats van de conclusie, en zoek de kleinste stap.</w:t>
      </w:r>
    </w:p>
    <w:p>
      <w:pPr>
        <w:pStyle w:val="ListParagraph"/>
        <w:numPr>
          <w:ilvl w:val="0"/>
          <w:numId w:val="4"/>
        </w:numPr>
        <w:spacing w:after="100"/>
      </w:pPr>
      <w:r>
        <w:rPr>
          <w:color w:val="1F2937"/>
          <w:sz w:val="22"/>
          <w:szCs w:val="22"/>
        </w:rPr>
        <w:t xml:space="preserve">Verliezen zonder te beschadigen is de meest onderschatte vaardigheid. Wie altijd wint, wordt vermeden.</w:t>
      </w:r>
    </w:p>
    <w:p>
      <w:pPr>
        <w:pStyle w:val="ListParagraph"/>
        <w:numPr>
          <w:ilvl w:val="0"/>
          <w:numId w:val="4"/>
        </w:numPr>
        <w:spacing w:after="100"/>
      </w:pPr>
      <w:r>
        <w:rPr>
          <w:color w:val="1F2937"/>
          <w:sz w:val="22"/>
          <w:szCs w:val="22"/>
        </w:rPr>
        <w:t xml:space="preserve">Doorzetten, meebewegen met vastlegging, of escaleren — stil verzet is de enige ongeldige reactie. Escaleer mét de beslisser, niet over hem heen.</w:t>
      </w:r>
    </w:p>
    <w:p>
      <w:pPr>
        <w:pStyle w:val="ListParagraph"/>
        <w:numPr>
          <w:ilvl w:val="0"/>
          <w:numId w:val="4"/>
        </w:numPr>
        <w:spacing w:after="100"/>
      </w:pPr>
      <w:r>
        <w:rPr>
          <w:color w:val="1F2937"/>
          <w:sz w:val="22"/>
          <w:szCs w:val="22"/>
        </w:rPr>
        <w:t xml:space="preserve">Sommige besluiten zijn niet aan u. Uw taak is ze scherp voorleggen.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Modereren — </w:t>
      </w:r>
      <w:r>
        <w:rPr>
          <w:color w:val="1F2937"/>
          <w:sz w:val="22"/>
          <w:szCs w:val="22"/>
        </w:rPr>
        <w:t xml:space="preserve">een gesprek leiden zonder er inhoudelijk aan deel te nemen.</w:t>
      </w:r>
    </w:p>
    <w:p>
      <w:pPr>
        <w:spacing w:after="160" w:line="276"/>
      </w:pPr>
      <w:r>
        <w:rPr>
          <w:b/>
          <w:bCs/>
          <w:color w:val="1F2937"/>
          <w:sz w:val="22"/>
          <w:szCs w:val="22"/>
        </w:rPr>
        <w:t xml:space="preserve">Verhuld meningsverschil — </w:t>
      </w:r>
      <w:r>
        <w:rPr>
          <w:color w:val="1F2937"/>
          <w:sz w:val="22"/>
          <w:szCs w:val="22"/>
        </w:rPr>
        <w:t xml:space="preserve">weerstand die technisch wordt geformuleerd terwijl de werkelijke grond elders ligt; herkenbaar aan verschuivende argumenten.</w:t>
      </w:r>
    </w:p>
    <w:p>
      <w:pPr>
        <w:spacing w:after="160" w:line="276"/>
      </w:pPr>
      <w:r>
        <w:rPr>
          <w:b/>
          <w:bCs/>
          <w:color w:val="1F2937"/>
          <w:sz w:val="22"/>
          <w:szCs w:val="22"/>
        </w:rPr>
        <w:t xml:space="preserve">Bewering, grond, verbinding — </w:t>
      </w:r>
      <w:r>
        <w:rPr>
          <w:color w:val="1F2937"/>
          <w:sz w:val="22"/>
          <w:szCs w:val="22"/>
        </w:rPr>
        <w:t xml:space="preserve">de drie delen van een argument; de verbinding wordt het vaakst weggelaten.</w:t>
      </w:r>
    </w:p>
    <w:p>
      <w:pPr>
        <w:spacing w:after="160" w:line="276"/>
      </w:pPr>
      <w:r>
        <w:rPr>
          <w:b/>
          <w:bCs/>
          <w:color w:val="1F2937"/>
          <w:sz w:val="22"/>
          <w:szCs w:val="22"/>
        </w:rPr>
        <w:t xml:space="preserve">Stilzwijgende weerstand — </w:t>
      </w:r>
      <w:r>
        <w:rPr>
          <w:color w:val="1F2937"/>
          <w:sz w:val="22"/>
          <w:szCs w:val="22"/>
        </w:rPr>
        <w:t xml:space="preserve">het uitblijven van zowel tegenspraak als actie.</w:t>
      </w:r>
    </w:p>
    <w:p>
      <w:pPr>
        <w:spacing w:after="160" w:line="276"/>
      </w:pPr>
      <w:r>
        <w:rPr>
          <w:b/>
          <w:bCs/>
          <w:color w:val="1F2937"/>
          <w:sz w:val="22"/>
          <w:szCs w:val="22"/>
        </w:rPr>
        <w:t xml:space="preserve">Meebewegen met vastlegging — </w:t>
      </w:r>
      <w:r>
        <w:rPr>
          <w:color w:val="1F2937"/>
          <w:sz w:val="22"/>
          <w:szCs w:val="22"/>
        </w:rPr>
        <w:t xml:space="preserve">een besluit accepteren en het bezwaar met verwachte gevolgen documenteren.</w:t>
      </w:r>
    </w:p>
    <w:p>
      <w:pPr>
        <w:spacing w:after="160" w:line="276"/>
      </w:pPr>
      <w:r>
        <w:rPr>
          <w:b/>
          <w:bCs/>
          <w:color w:val="1F2937"/>
          <w:sz w:val="22"/>
          <w:szCs w:val="22"/>
        </w:rPr>
        <w:t xml:space="preserve">Escaleren mét de beslisser — </w:t>
      </w:r>
      <w:r>
        <w:rPr>
          <w:color w:val="1F2937"/>
          <w:sz w:val="22"/>
          <w:szCs w:val="22"/>
        </w:rPr>
        <w:t xml:space="preserve">een geschil samen voorleggen aan een hoger niveau in plaats van erover heen.</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4"/>
        </w:numPr>
        <w:spacing w:after="100"/>
      </w:pPr>
      <w:r>
        <w:rPr>
          <w:color w:val="1F2937"/>
          <w:sz w:val="22"/>
          <w:szCs w:val="22"/>
        </w:rPr>
        <w:t xml:space="preserve">Patterson e.a., Crucial Conversations — over gesprekken waarin de inzet hoog is en de meningen verschillen.</w:t>
      </w:r>
    </w:p>
    <w:p>
      <w:pPr>
        <w:pStyle w:val="ListParagraph"/>
        <w:numPr>
          <w:ilvl w:val="0"/>
          <w:numId w:val="4"/>
        </w:numPr>
        <w:spacing w:after="100"/>
      </w:pPr>
      <w:r>
        <w:rPr>
          <w:color w:val="1F2937"/>
          <w:sz w:val="22"/>
          <w:szCs w:val="22"/>
        </w:rPr>
        <w:t xml:space="preserve">Fisher &amp; Ury, Getting to Yes — over onderhandelen op belangen in plaats van op posities.</w:t>
      </w:r>
    </w:p>
    <w:p>
      <w:pPr>
        <w:pStyle w:val="ListParagraph"/>
        <w:numPr>
          <w:ilvl w:val="0"/>
          <w:numId w:val="4"/>
        </w:numPr>
        <w:spacing w:after="100"/>
      </w:pPr>
      <w:r>
        <w:rPr>
          <w:color w:val="1F2937"/>
          <w:sz w:val="22"/>
          <w:szCs w:val="22"/>
        </w:rPr>
        <w:t xml:space="preserve">Rosenberg, Nonviolent Communication — lees selectief; het onderscheid tussen waarneming en oordeel is het bruikbaarst.</w:t>
      </w:r>
    </w:p>
    <w:p>
      <w:pPr>
        <w:pStyle w:val="ListParagraph"/>
        <w:numPr>
          <w:ilvl w:val="0"/>
          <w:numId w:val="4"/>
        </w:numPr>
        <w:spacing w:after="100"/>
      </w:pPr>
      <w:r>
        <w:rPr>
          <w:color w:val="1F2937"/>
          <w:sz w:val="22"/>
          <w:szCs w:val="22"/>
        </w:rPr>
        <w:t xml:space="preserve">Schulz, Being Wrong — over hoe het voelt om ongelijk te hebben, en waarom dat gevoel niet bestaat tot het te laat is.</w:t>
      </w:r>
    </w:p>
    <w:p>
      <w:pPr>
        <w:pBdr>
          <w:top w:val="single" w:color="E5E7EB" w:sz="4" w:space="8"/>
        </w:pBdr>
        <w:spacing w:before="400"/>
        <w:jc w:val="center"/>
      </w:pPr>
      <w:r>
        <w:rPr>
          <w:i/>
          <w:iCs/>
          <w:color w:val="6B7280"/>
          <w:sz w:val="17"/>
          <w:szCs w:val="17"/>
        </w:rPr>
        <w:t xml:space="preserve">Ductus B.V. · Cursus Softwarearchitectuur · Niveau 2, deel 20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2026-08-17T19:36:11.060Z</dcterms:created>
  <dcterms:modified xsi:type="dcterms:W3CDTF">2026-08-17T19:36:11.061Z</dcterms:modified>
</cp:coreProperties>
</file>

<file path=docProps/custom.xml><?xml version="1.0" encoding="utf-8"?>
<Properties xmlns="http://schemas.openxmlformats.org/officeDocument/2006/custom-properties" xmlns:vt="http://schemas.openxmlformats.org/officeDocument/2006/docPropsVTypes"/>
</file>