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21 — Teamindeling, credit points en tussenbeoordeling</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21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doet drie dingen tegelijk en dat is ongebruikelijk. Bewaak de verhouding, want het glijdt makkelijk af naar één ervan.</w:t>
      </w:r>
    </w:p>
    <w:p>
      <w:pPr>
        <w:pStyle w:val="ListParagraph"/>
        <w:numPr>
          <w:ilvl w:val="0"/>
          <w:numId w:val="2"/>
        </w:numPr>
        <w:spacing w:after="120"/>
      </w:pPr>
      <w:r>
        <w:rPr>
          <w:b/>
          <w:bCs/>
          <w:color w:val="1F2937"/>
          <w:sz w:val="22"/>
          <w:szCs w:val="22"/>
        </w:rPr>
        <w:t xml:space="preserve">Eén inhoudelijk onderwerp</w:t>
      </w:r>
      <w:r>
        <w:rPr>
          <w:color w:val="1F2937"/>
          <w:sz w:val="22"/>
          <w:szCs w:val="22"/>
        </w:rPr>
        <w:t xml:space="preserve"> — teamindeling en het gremium. Dit is echt architectuurmateriaal en het is elf delen lang geparkeerd.</w:t>
      </w:r>
    </w:p>
    <w:p>
      <w:pPr>
        <w:pStyle w:val="ListParagraph"/>
        <w:numPr>
          <w:ilvl w:val="0"/>
          <w:numId w:val="2"/>
        </w:numPr>
        <w:spacing w:after="120"/>
      </w:pPr>
      <w:r>
        <w:rPr>
          <w:b/>
          <w:bCs/>
          <w:color w:val="1F2937"/>
          <w:sz w:val="22"/>
          <w:szCs w:val="22"/>
        </w:rPr>
        <w:t xml:space="preserve">Een persoonlijke balans</w:t>
      </w:r>
      <w:r>
        <w:rPr>
          <w:color w:val="1F2937"/>
          <w:sz w:val="22"/>
          <w:szCs w:val="22"/>
        </w:rPr>
        <w:t xml:space="preserve"> — waar staat de deelnemer, wat koopt hij in, heeft hij portfolio.</w:t>
      </w:r>
    </w:p>
    <w:p>
      <w:pPr>
        <w:pStyle w:val="ListParagraph"/>
        <w:numPr>
          <w:ilvl w:val="0"/>
          <w:numId w:val="2"/>
        </w:numPr>
        <w:spacing w:after="120"/>
      </w:pPr>
      <w:r>
        <w:rPr>
          <w:b/>
          <w:bCs/>
          <w:color w:val="1F2937"/>
          <w:sz w:val="22"/>
          <w:szCs w:val="22"/>
        </w:rPr>
        <w:t xml:space="preserve">Een terugblik</w:t>
      </w:r>
      <w:r>
        <w:rPr>
          <w:color w:val="1F2937"/>
          <w:sz w:val="22"/>
          <w:szCs w:val="22"/>
        </w:rPr>
        <w:t xml:space="preserve"> — de drie patronen die door niveau 2 lopen.</w:t>
      </w:r>
    </w:p>
    <w:p>
      <w:pPr>
        <w:spacing w:after="160" w:line="276"/>
      </w:pPr>
      <w:r>
        <w:rPr>
          <w:b/>
          <w:bCs/>
          <w:color w:val="1F2937"/>
          <w:sz w:val="22"/>
          <w:szCs w:val="22"/>
        </w:rPr>
        <w:t xml:space="preserve">De valkuil is dat het een afsluitingsdagdeel wordt </w:t>
      </w:r>
      <w:r>
        <w:rPr>
          <w:color w:val="1F2937"/>
          <w:sz w:val="22"/>
          <w:szCs w:val="22"/>
        </w:rPr>
        <w:t xml:space="preserve">waarin vooral wordt teruggekeken. De inhoudelijke helft (paragraaf 21.1 tot 21.4) is volwaardig materiaal en zij verdient de eerste helft van de dag.</w:t>
      </w:r>
    </w:p>
    <w:p>
      <w:pPr>
        <w:spacing w:after="160" w:line="276"/>
      </w:pPr>
      <w:r>
        <w:rPr>
          <w:b/>
          <w:bCs/>
          <w:color w:val="1F2937"/>
          <w:sz w:val="22"/>
          <w:szCs w:val="22"/>
        </w:rPr>
        <w:t xml:space="preserve">Wat dit deel bijzonder maakt </w:t>
      </w:r>
      <w:r>
        <w:rPr>
          <w:color w:val="1F2937"/>
          <w:sz w:val="22"/>
          <w:szCs w:val="22"/>
        </w:rPr>
        <w:t xml:space="preserve">is dat de casus zichzelf corrigeert: in deel 13 kwam er een derde team en niemand stelde de vraag waar de teams gesneden werden. Drie sprints later was de doorlooptijd verdubbeld. Dat is een fout in de casus die opzettelijk is gemaakt, en deelnemers die hem in deel 13 al zagen aankomen, hebben goed opgelet.</w:t>
      </w:r>
    </w:p>
    <w:p>
      <w:pPr>
        <w:spacing w:after="160" w:line="276"/>
      </w:pPr>
      <w:r>
        <w:rPr>
          <w:b/>
          <w:bCs/>
          <w:color w:val="1F2937"/>
          <w:sz w:val="22"/>
          <w:szCs w:val="22"/>
        </w:rPr>
        <w:t xml:space="preserve">Waarschuwing over de credit-pointkaart. </w:t>
      </w:r>
      <w:r>
        <w:rPr>
          <w:color w:val="1F2937"/>
          <w:sz w:val="22"/>
          <w:szCs w:val="22"/>
        </w:rPr>
        <w:t xml:space="preserve">Het modulelandschap en de certificeringsvoorwaarden wijzigen. Bijlage BT bevat een momentopname met een expliciete waarschuwing; verwijs in de zaal consequent naar isaqb.org en presenteer geen aantallen als vaststaand. Een docent die verouderde puntenaantallen noemt, wordt binnen een minuut gecorrigeerd door een deelnemer met een telefoon.</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Het derde team; de wet van Conway</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0:15–0:30</w:t>
            </w:r>
          </w:p>
        </w:tc>
        <w:tc>
          <w:tcPr>
            <w:tcW w:type="dxa" w:w="4300"/>
            <w:tcMar>
              <w:top w:type="dxa" w:w="100"/>
              <w:left w:type="dxa" w:w="120"/>
              <w:bottom w:type="dxa" w:w="100"/>
              <w:right w:type="dxa" w:w="120"/>
            </w:tcMar>
            <w:vAlign w:val="center"/>
          </w:tcPr>
          <w:p>
            <w:r>
              <w:rPr>
                <w:b w:val="false"/>
                <w:bCs w:val="false"/>
                <w:color w:val="1F2937"/>
                <w:sz w:val="19"/>
                <w:szCs w:val="19"/>
              </w:rPr>
              <w:t xml:space="preserve">Wat de architect had moeten zeggen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0:30–1:05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21.1 — de teamindeling doorrekenen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1:05–1:15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1:15–1:30</w:t>
            </w:r>
          </w:p>
        </w:tc>
        <w:tc>
          <w:tcPr>
            <w:tcW w:type="dxa" w:w="4300"/>
            <w:tcMar>
              <w:top w:type="dxa" w:w="100"/>
              <w:left w:type="dxa" w:w="120"/>
              <w:bottom w:type="dxa" w:w="100"/>
              <w:right w:type="dxa" w:w="120"/>
            </w:tcMar>
            <w:vAlign w:val="center"/>
          </w:tcPr>
          <w:p>
            <w:r>
              <w:rPr>
                <w:b w:val="false"/>
                <w:bCs w:val="false"/>
                <w:color w:val="1F2937"/>
                <w:sz w:val="19"/>
                <w:szCs w:val="19"/>
              </w:rPr>
              <w:t xml:space="preserve">Vier teamvormen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11–12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1:30–1:55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21.2 — teamvormen toewijzen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1:55–2:15</w:t>
            </w:r>
          </w:p>
        </w:tc>
        <w:tc>
          <w:tcPr>
            <w:tcW w:type="dxa" w:w="4300"/>
            <w:tcMar>
              <w:top w:type="dxa" w:w="100"/>
              <w:left w:type="dxa" w:w="120"/>
              <w:bottom w:type="dxa" w:w="100"/>
              <w:right w:type="dxa" w:w="120"/>
            </w:tcMar>
            <w:vAlign w:val="center"/>
          </w:tcPr>
          <w:p>
            <w:r>
              <w:rPr>
                <w:b w:val="false"/>
                <w:bCs w:val="false"/>
                <w:color w:val="1F2937"/>
                <w:sz w:val="19"/>
                <w:szCs w:val="19"/>
              </w:rPr>
              <w:t xml:space="preserve">Het gremium: reikwijdte en escalatie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13–18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2:25–3:00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21.3 — het gremium herontwerpen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3:00–3:20</w:t>
            </w:r>
          </w:p>
        </w:tc>
        <w:tc>
          <w:tcPr>
            <w:tcW w:type="dxa" w:w="4300"/>
            <w:tcMar>
              <w:top w:type="dxa" w:w="100"/>
              <w:left w:type="dxa" w:w="120"/>
              <w:bottom w:type="dxa" w:w="100"/>
              <w:right w:type="dxa" w:w="120"/>
            </w:tcMar>
            <w:vAlign w:val="center"/>
          </w:tcPr>
          <w:p>
            <w:r>
              <w:rPr>
                <w:b w:val="false"/>
                <w:bCs w:val="false"/>
                <w:color w:val="1F2937"/>
                <w:sz w:val="19"/>
                <w:szCs w:val="19"/>
              </w:rPr>
              <w:t xml:space="preserve">Het modulelandschap en uw inkoopplan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individueel</w:t>
            </w:r>
          </w:p>
        </w:tc>
        <w:tc>
          <w:tcPr>
            <w:tcW w:type="dxa" w:w="1538"/>
            <w:tcMar>
              <w:top w:type="dxa" w:w="100"/>
              <w:left w:type="dxa" w:w="120"/>
              <w:bottom w:type="dxa" w:w="100"/>
              <w:right w:type="dxa" w:w="120"/>
            </w:tcMar>
            <w:vAlign w:val="center"/>
          </w:tcPr>
          <w:p>
            <w:r>
              <w:rPr>
                <w:b w:val="false"/>
                <w:bCs w:val="false"/>
                <w:color w:val="1F2937"/>
                <w:sz w:val="19"/>
                <w:szCs w:val="19"/>
              </w:rPr>
              <w:t xml:space="preserve">20–23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3:20–3:40</w:t>
            </w:r>
          </w:p>
        </w:tc>
        <w:tc>
          <w:tcPr>
            <w:tcW w:type="dxa" w:w="4300"/>
            <w:tcMar>
              <w:top w:type="dxa" w:w="100"/>
              <w:left w:type="dxa" w:w="120"/>
              <w:bottom w:type="dxa" w:w="100"/>
              <w:right w:type="dxa" w:w="120"/>
            </w:tcMar>
            <w:vAlign w:val="center"/>
          </w:tcPr>
          <w:p>
            <w:r>
              <w:rPr>
                <w:b w:val="false"/>
                <w:bCs w:val="false"/>
                <w:color w:val="1F2937"/>
                <w:sz w:val="19"/>
                <w:szCs w:val="19"/>
              </w:rPr>
              <w:t xml:space="preserve">Portfolio; opdracht 21.5</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individueel</w:t>
            </w:r>
          </w:p>
        </w:tc>
        <w:tc>
          <w:tcPr>
            <w:tcW w:type="dxa" w:w="1538"/>
            <w:tcMar>
              <w:top w:type="dxa" w:w="100"/>
              <w:left w:type="dxa" w:w="120"/>
              <w:bottom w:type="dxa" w:w="100"/>
              <w:right w:type="dxa" w:w="120"/>
            </w:tcMar>
            <w:vAlign w:val="center"/>
          </w:tcPr>
          <w:p>
            <w:r>
              <w:rPr>
                <w:b w:val="false"/>
                <w:bCs w:val="false"/>
                <w:color w:val="1F2937"/>
                <w:sz w:val="19"/>
                <w:szCs w:val="19"/>
              </w:rPr>
              <w:t xml:space="preserve">24–26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3:40–4:00</w:t>
            </w:r>
          </w:p>
        </w:tc>
        <w:tc>
          <w:tcPr>
            <w:tcW w:type="dxa" w:w="4300"/>
            <w:tcMar>
              <w:top w:type="dxa" w:w="100"/>
              <w:left w:type="dxa" w:w="120"/>
              <w:bottom w:type="dxa" w:w="100"/>
              <w:right w:type="dxa" w:w="120"/>
            </w:tcMar>
            <w:vAlign w:val="center"/>
          </w:tcPr>
          <w:p>
            <w:r>
              <w:rPr>
                <w:b w:val="false"/>
                <w:bCs w:val="false"/>
                <w:color w:val="1F2937"/>
                <w:sz w:val="19"/>
                <w:szCs w:val="19"/>
              </w:rPr>
              <w:t xml:space="preserve">De drie patronen; afsluiting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27–28</w:t>
            </w:r>
          </w:p>
        </w:tc>
      </w:tr>
    </w:tbl>
    <w:p>
      <w:pPr>
        <w:spacing w:after="300"/>
      </w:pPr>
    </w:p>
    <w:p>
      <w:pPr>
        <w:spacing w:after="160" w:line="276"/>
      </w:pPr>
      <w:r>
        <w:rPr>
          <w:b/>
          <w:bCs/>
          <w:color w:val="1F2937"/>
          <w:sz w:val="22"/>
          <w:szCs w:val="22"/>
        </w:rPr>
        <w:t xml:space="preserve">Opdracht 21.4 (positie in het modulelandschap) en 21.6 (de drie patronen) staan als individueel werk in de planning verweven. </w:t>
      </w:r>
      <w:r>
        <w:rPr>
          <w:color w:val="1F2937"/>
          <w:sz w:val="22"/>
          <w:szCs w:val="22"/>
        </w:rPr>
        <w:t xml:space="preserve">Opdracht 21.7 is huiswerk.</w:t>
      </w:r>
    </w:p>
    <w:p>
      <w:pPr>
        <w:pStyle w:val="ListParagraph"/>
        <w:numPr>
          <w:ilvl w:val="0"/>
          <w:numId w:val="3"/>
        </w:numPr>
        <w:spacing w:after="100"/>
      </w:pPr>
      <w:r>
        <w:rPr>
          <w:b/>
          <w:bCs/>
          <w:color w:val="1F2937"/>
          <w:sz w:val="22"/>
          <w:szCs w:val="22"/>
        </w:rPr>
        <w:t xml:space="preserve">Bij een groep die niet doorgaat naar niveau 3: </w:t>
      </w:r>
      <w:r>
        <w:rPr>
          <w:color w:val="1F2937"/>
          <w:sz w:val="22"/>
          <w:szCs w:val="22"/>
        </w:rPr>
        <w:t xml:space="preserve">verschuif tijd van paragraaf 21.5 en 21.6 naar de inhoudelijke helft, en doe opdracht 21.6 (de drie patronen) volledig in de groep. Dat is voor hen de waardevolste afsluiting.</w:t>
      </w:r>
    </w:p>
    <w:p>
      <w:pPr>
        <w:pStyle w:val="ListParagraph"/>
        <w:numPr>
          <w:ilvl w:val="0"/>
          <w:numId w:val="3"/>
        </w:numPr>
        <w:spacing w:after="100"/>
      </w:pPr>
      <w:r>
        <w:rPr>
          <w:b/>
          <w:bCs/>
          <w:color w:val="1F2937"/>
          <w:sz w:val="22"/>
          <w:szCs w:val="22"/>
        </w:rPr>
        <w:t xml:space="preserve">Bij een groep die wel doorgaat: </w:t>
      </w:r>
      <w:r>
        <w:rPr>
          <w:color w:val="1F2937"/>
          <w:sz w:val="22"/>
          <w:szCs w:val="22"/>
        </w:rPr>
        <w:t xml:space="preserve">houd de planning aan, en besteed extra aandacht aan opdracht 21.5 (portfolio) — deelnemers die daar nu mee beginnen, hebben over een jaar materiaal.</w:t>
      </w:r>
    </w:p>
    <w:p>
      <w:pPr>
        <w:pStyle w:val="ListParagraph"/>
        <w:numPr>
          <w:ilvl w:val="0"/>
          <w:numId w:val="3"/>
        </w:numPr>
        <w:spacing w:after="100"/>
      </w:pPr>
      <w:r>
        <w:rPr>
          <w:b/>
          <w:bCs/>
          <w:color w:val="1F2937"/>
          <w:sz w:val="22"/>
          <w:szCs w:val="22"/>
        </w:rPr>
        <w:t xml:space="preserve">Bij 4,5 uur: </w:t>
      </w:r>
      <w:r>
        <w:rPr>
          <w:color w:val="1F2937"/>
          <w:sz w:val="22"/>
          <w:szCs w:val="22"/>
        </w:rPr>
        <w:t xml:space="preserve">voeg opdracht 21.6 toe als groepsopdracht.</w:t>
      </w:r>
    </w:p>
    <w:p>
      <w:pPr>
        <w:spacing w:after="160" w:line="276"/>
      </w:pPr>
      <w:r>
        <w:rPr>
          <w:b/>
          <w:bCs/>
          <w:color w:val="1F2937"/>
          <w:sz w:val="22"/>
          <w:szCs w:val="22"/>
        </w:rPr>
        <w:t xml:space="preserve">Wat u nooit inkort: </w:t>
      </w:r>
      <w:r>
        <w:rPr>
          <w:color w:val="1F2937"/>
          <w:sz w:val="22"/>
          <w:szCs w:val="22"/>
        </w:rPr>
        <w:t xml:space="preserve">opdracht 21.1. Dat is het inhoudelijke hart en het is het enige moment waarop de casusfout expliciet wordt gemaakt.</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Het derde team en Conway (slides 2–9)</w:t>
      </w:r>
    </w:p>
    <w:p>
      <w:pPr>
        <w:spacing w:after="160" w:line="276"/>
      </w:pPr>
      <w:r>
        <w:rPr>
          <w:b/>
          <w:bCs/>
          <w:color w:val="1F2937"/>
          <w:sz w:val="22"/>
          <w:szCs w:val="22"/>
        </w:rPr>
        <w:t xml:space="preserve">Presenteer de drie voorstellen en laat de groep kiezen voordat u de uitkomst toont. </w:t>
      </w:r>
      <w:r>
        <w:rPr>
          <w:color w:val="1F2937"/>
          <w:sz w:val="22"/>
          <w:szCs w:val="22"/>
        </w:rPr>
        <w:t xml:space="preserve">Vrijwel elke groep kiest voorstel 2 (mutatiesoort), en dat is nuttig: zij zien meteen dat de casusorganisatie anders koos.</w:t>
      </w:r>
    </w:p>
    <w:p>
      <w:pPr>
        <w:spacing w:after="160" w:line="276"/>
      </w:pPr>
      <w:r>
        <w:rPr>
          <w:b/>
          <w:bCs/>
          <w:color w:val="1F2937"/>
          <w:sz w:val="22"/>
          <w:szCs w:val="22"/>
        </w:rPr>
        <w:t xml:space="preserve">Slide 4 is het feit. </w:t>
      </w:r>
      <w:r>
        <w:rPr>
          <w:color w:val="1F2937"/>
          <w:sz w:val="22"/>
          <w:szCs w:val="22"/>
        </w:rPr>
        <w:t xml:space="preserve">Verdubbelde doorlooptijd, drie sprints later. Laat het staan.</w:t>
      </w:r>
    </w:p>
    <w:p>
      <w:pPr>
        <w:spacing w:after="160" w:line="276"/>
      </w:pPr>
      <w:r>
        <w:rPr>
          <w:b/>
          <w:bCs/>
          <w:color w:val="1F2937"/>
          <w:sz w:val="22"/>
          <w:szCs w:val="22"/>
        </w:rPr>
        <w:t xml:space="preserve">Slide 5–6 leggen het mechanisme uit. </w:t>
      </w:r>
      <w:r>
        <w:rPr>
          <w:color w:val="1F2937"/>
          <w:sz w:val="22"/>
          <w:szCs w:val="22"/>
        </w:rPr>
        <w:t xml:space="preserve">Het punt dat moet vallen is dat Conway geen wetmatigheid is maar een kostenverschil: binnen een team is afstemmen goedkoop, ertussen duur, en ontwerpkeuzes volgen dat verschil.</w:t>
      </w:r>
    </w:p>
    <w:p>
      <w:pPr>
        <w:spacing w:after="160" w:line="276"/>
      </w:pPr>
      <w:r>
        <w:rPr>
          <w:color w:val="1F2937"/>
          <w:sz w:val="22"/>
          <w:szCs w:val="22"/>
        </w:rPr>
        <w:t xml:space="preserve">Slide 8–9 zijn het hart van dit blok en zij verbinden met deel 19 en 20.</w:t>
      </w:r>
    </w:p>
    <w:p>
      <w:pPr>
        <w:spacing w:after="160" w:line="276"/>
      </w:pPr>
      <w:r>
        <w:rPr>
          <w:color w:val="1F2937"/>
          <w:sz w:val="22"/>
          <w:szCs w:val="22"/>
        </w:rPr>
        <w:t xml:space="preserve">De formulering op slide 8 is een besluitnota in gesproken vorm: de voorspelling, beide opties met hun kosten, en de vraag teruggelegd bij degene die erover gaat.</w:t>
      </w:r>
    </w:p>
    <w:p>
      <w:pPr>
        <w:spacing w:after="160" w:line="276"/>
      </w:pPr>
      <w:r>
        <w:rPr>
          <w:b/>
          <w:bCs/>
          <w:color w:val="1F2937"/>
          <w:sz w:val="22"/>
          <w:szCs w:val="22"/>
        </w:rPr>
        <w:t xml:space="preserve">Slide 9 is de conclusie die deelnemers zelf niet trekken: </w:t>
      </w:r>
      <w:r>
        <w:rPr>
          <w:color w:val="1F2937"/>
          <w:sz w:val="22"/>
          <w:szCs w:val="22"/>
        </w:rPr>
        <w:t xml:space="preserve">wat misging is niet het HR-argument maar het ontbreken van het architectuurargument ernaast.</w:t>
      </w:r>
    </w:p>
    <w:p>
      <w:pPr>
        <w:spacing w:after="160" w:line="276"/>
      </w:pPr>
      <w:r>
        <w:rPr>
          <w:b/>
          <w:bCs/>
          <w:color w:val="1F2937"/>
          <w:sz w:val="22"/>
          <w:szCs w:val="22"/>
        </w:rPr>
        <w:t xml:space="preserve">Wees genuanceerd over het management. </w:t>
      </w:r>
      <w:r>
        <w:rPr>
          <w:color w:val="1F2937"/>
          <w:sz w:val="22"/>
          <w:szCs w:val="22"/>
        </w:rPr>
        <w:t xml:space="preserve">Zij wogen één argument tegen niets af, en dat is een redelijke beslissing gegeven de informatie. Groepen die het management dom vinden, hebben de les gemist: dit is een ontbrekende inbreng van de architect.</w:t>
      </w:r>
    </w:p>
    <w:p>
      <w:pPr>
        <w:pStyle w:val="Heading2"/>
        <w:spacing w:after="140" w:before="260"/>
      </w:pPr>
      <w:r>
        <w:rPr>
          <w:b/>
          <w:bCs/>
          <w:color w:val="4A6789"/>
          <w:sz w:val="24"/>
          <w:szCs w:val="24"/>
        </w:rPr>
        <w:t xml:space="preserve">3.2 Opdracht 21.1 (35 minuten)</w:t>
      </w:r>
    </w:p>
    <w:p>
      <w:pPr>
        <w:spacing w:after="160" w:line="276"/>
      </w:pPr>
      <w:r>
        <w:rPr>
          <w:b/>
          <w:bCs/>
          <w:color w:val="1F2937"/>
          <w:sz w:val="22"/>
          <w:szCs w:val="22"/>
        </w:rPr>
        <w:t xml:space="preserve">Plenair vooral d) en f).</w:t>
      </w:r>
      <w:r>
        <w:rPr>
          <w:color w:val="1F2937"/>
          <w:sz w:val="22"/>
          <w:szCs w:val="22"/>
        </w:rPr>
        <w:t xml:space="preserve"/>
      </w:r>
    </w:p>
    <w:p>
      <w:pPr>
        <w:spacing w:after="160" w:line="276"/>
      </w:pPr>
      <w:r>
        <w:rPr>
          <w:b/>
          <w:bCs/>
          <w:color w:val="1F2937"/>
          <w:sz w:val="22"/>
          <w:szCs w:val="22"/>
        </w:rPr>
        <w:t xml:space="preserve">Bij d) is de nuance het leerpunt. </w:t>
      </w:r>
      <w:r>
        <w:rPr>
          <w:color w:val="1F2937"/>
          <w:sz w:val="22"/>
          <w:szCs w:val="22"/>
        </w:rPr>
        <w:t xml:space="preserve">Een organisatorisch argument is niet automatisch het slechtere argument; functieprofielen, loopbaanpaden en vakgroepen zijn reëel. Groepen die “aansluiten bij functieprofielen” afdoen als een slap argument, verliezen in de praktijk elke discussie hierover.</w:t>
      </w:r>
    </w:p>
    <w:p>
      <w:pPr>
        <w:spacing w:after="160" w:line="276"/>
      </w:pPr>
      <w:r>
        <w:rPr>
          <w:b/>
          <w:bCs/>
          <w:color w:val="1F2937"/>
          <w:sz w:val="22"/>
          <w:szCs w:val="22"/>
        </w:rPr>
        <w:t xml:space="preserve">Bij f) is de meest gekozen optie herindelen, en dat is doorgaans niet de verstandigste. </w:t>
      </w:r>
      <w:r>
        <w:rPr>
          <w:color w:val="1F2937"/>
          <w:sz w:val="22"/>
          <w:szCs w:val="22"/>
        </w:rPr>
        <w:t xml:space="preserve">Optie 2 — compenseren binnen de huidige indeling met een vaste koppeling per mutatiesoort — is goedkoper, sneller, en behoudt de mogelijkheid om bij de volgende reorganisatiegelegenheid alsnog te herindelen.</w:t>
      </w:r>
    </w:p>
    <w:p>
      <w:pPr>
        <w:spacing w:after="160" w:line="276"/>
      </w:pPr>
      <w:r>
        <w:rPr>
          <w:b/>
          <w:bCs/>
          <w:color w:val="1F2937"/>
          <w:sz w:val="22"/>
          <w:szCs w:val="22"/>
        </w:rPr>
        <w:t xml:space="preserve">Wijs op de houdbaarheid van het argument: </w:t>
      </w:r>
      <w:r>
        <w:rPr>
          <w:color w:val="1F2937"/>
          <w:sz w:val="22"/>
          <w:szCs w:val="22"/>
        </w:rPr>
        <w:t xml:space="preserve">de meting uit bijlage BR is het sterkste bewijs dat de architect heeft, en zij verliest kracht naarmate zij ouder wordt. Dit is dus een gesprek voor nu, niet voor over een halfjaar.</w:t>
      </w:r>
    </w:p>
    <w:p>
      <w:pPr>
        <w:pStyle w:val="Heading2"/>
        <w:spacing w:after="140" w:before="260"/>
      </w:pPr>
      <w:r>
        <w:rPr>
          <w:b/>
          <w:bCs/>
          <w:color w:val="4A6789"/>
          <w:sz w:val="24"/>
          <w:szCs w:val="24"/>
        </w:rPr>
        <w:t xml:space="preserve">3.3 Teamvormen (slides 11–12, opdracht 21.2)</w:t>
      </w:r>
    </w:p>
    <w:p>
      <w:pPr>
        <w:spacing w:after="160" w:line="276"/>
      </w:pPr>
      <w:r>
        <w:rPr>
          <w:b/>
          <w:bCs/>
          <w:color w:val="1F2937"/>
          <w:sz w:val="22"/>
          <w:szCs w:val="22"/>
        </w:rPr>
        <w:t xml:space="preserve">Kort houden. </w:t>
      </w:r>
      <w:r>
        <w:rPr>
          <w:color w:val="1F2937"/>
          <w:sz w:val="22"/>
          <w:szCs w:val="22"/>
        </w:rPr>
        <w:t xml:space="preserve">De vier vormen zijn intuïtief; de tijd zit in de toewijzing.</w:t>
      </w:r>
    </w:p>
    <w:p>
      <w:pPr>
        <w:spacing w:after="160" w:line="276"/>
      </w:pPr>
      <w:r>
        <w:rPr>
          <w:b/>
          <w:bCs/>
          <w:color w:val="1F2937"/>
          <w:sz w:val="22"/>
          <w:szCs w:val="22"/>
        </w:rPr>
        <w:t xml:space="preserve">Onderdeel 3 van de opdracht (de reglementaire rechtenbepaling) is de interessante. </w:t>
      </w:r>
      <w:r>
        <w:rPr>
          <w:color w:val="1F2937"/>
          <w:sz w:val="22"/>
          <w:szCs w:val="22"/>
        </w:rPr>
        <w:t xml:space="preserve">Het is de voor de hand liggende kandidaat voor een complex-subsysteemteam, en het verdedigbare antwoord is dat het dat níét moet worden: de kennis zit bij het actuariaat en moet bij elke mutatiesoort beschikbaar zijn. Een apart team maakt van elke reglementsvraag een afstemming.</w:t>
      </w:r>
    </w:p>
    <w:p>
      <w:pPr>
        <w:spacing w:after="160" w:line="276"/>
      </w:pPr>
      <w:r>
        <w:rPr>
          <w:b/>
          <w:bCs/>
          <w:color w:val="1F2937"/>
          <w:sz w:val="22"/>
          <w:szCs w:val="22"/>
        </w:rPr>
        <w:t xml:space="preserve">De vervolgvraag levert de bevinding op: </w:t>
      </w:r>
      <w:r>
        <w:rPr>
          <w:color w:val="1F2937"/>
          <w:sz w:val="22"/>
          <w:szCs w:val="22"/>
        </w:rPr>
        <w:t xml:space="preserve">de architectuur veronderstelt vier tot vijf autonome eenheden waar er drie teams zijn. Benoem dat dit een evaluatiebevinding is in de zin van deel 18 — het is een van de twee manieren waarop Conway zich wreekt.</w:t>
      </w:r>
    </w:p>
    <w:p>
      <w:pPr>
        <w:pStyle w:val="Heading2"/>
        <w:spacing w:after="140" w:before="260"/>
      </w:pPr>
      <w:r>
        <w:rPr>
          <w:b/>
          <w:bCs/>
          <w:color w:val="4A6789"/>
          <w:sz w:val="24"/>
          <w:szCs w:val="24"/>
        </w:rPr>
        <w:t xml:space="preserve">3.4 Het gremium (slides 13–19)</w:t>
      </w:r>
    </w:p>
    <w:p>
      <w:pPr>
        <w:spacing w:after="160" w:line="276"/>
      </w:pPr>
      <w:r>
        <w:rPr>
          <w:b/>
          <w:bCs/>
          <w:color w:val="1F2937"/>
          <w:sz w:val="22"/>
          <w:szCs w:val="22"/>
        </w:rPr>
        <w:t xml:space="preserve">Slide 15 verbindt met deel 1: </w:t>
      </w:r>
      <w:r>
        <w:rPr>
          <w:color w:val="1F2937"/>
          <w:sz w:val="22"/>
          <w:szCs w:val="22"/>
        </w:rPr>
        <w:t xml:space="preserve">de reikwijdte-indeling is het significantiecriterium, nu toegepast op wie beslist. Dat is de vierde keer dat dat criterium terugkomt; benoem het.</w:t>
      </w:r>
    </w:p>
    <w:p>
      <w:pPr>
        <w:spacing w:after="160" w:line="276"/>
      </w:pPr>
      <w:r>
        <w:rPr>
          <w:b/>
          <w:bCs/>
          <w:color w:val="1F2937"/>
          <w:sz w:val="22"/>
          <w:szCs w:val="22"/>
        </w:rPr>
        <w:t xml:space="preserve">Slide 17 is het punt dat organisaties overslaan. </w:t>
      </w:r>
      <w:r>
        <w:rPr>
          <w:color w:val="1F2937"/>
          <w:sz w:val="22"/>
          <w:szCs w:val="22"/>
        </w:rPr>
        <w:t xml:space="preserve">Een gremium zonder knoop-doorhakker vergadert oneindig, en dat de architect beslist bij staken van stemmen moet vóóraf vastliggen.</w:t>
      </w:r>
    </w:p>
    <w:p>
      <w:pPr>
        <w:spacing w:after="160" w:line="276"/>
      </w:pPr>
      <w:r>
        <w:rPr>
          <w:color w:val="1F2937"/>
          <w:sz w:val="22"/>
          <w:szCs w:val="22"/>
        </w:rPr>
        <w:t xml:space="preserve">Het argument voor “vooraf”: achteraf wordt elke beslissing van de architect een machtsvraag — </w:t>
      </w:r>
      <w:r>
        <w:rPr>
          <w:i/>
          <w:iCs/>
          <w:color w:val="1F2937"/>
          <w:sz w:val="22"/>
          <w:szCs w:val="22"/>
        </w:rPr>
        <w:t xml:space="preserve">“mag jij dat zomaar bepalen?”</w:t>
      </w:r>
      <w:r>
        <w:rPr>
          <w:color w:val="1F2937"/>
          <w:sz w:val="22"/>
          <w:szCs w:val="22"/>
        </w:rPr>
        <w:t xml:space="preserve"> Met een vastgelegd mandaat is het procedureel.</w:t>
      </w:r>
    </w:p>
    <w:p>
      <w:pPr>
        <w:spacing w:after="160" w:line="276"/>
      </w:pPr>
      <w:r>
        <w:rPr>
          <w:b/>
          <w:bCs/>
          <w:color w:val="1F2937"/>
          <w:sz w:val="22"/>
          <w:szCs w:val="22"/>
        </w:rPr>
        <w:t xml:space="preserve">Slide 18 (minderheidsstandpunt) wordt onderschat. </w:t>
      </w:r>
      <w:r>
        <w:rPr>
          <w:color w:val="1F2937"/>
          <w:sz w:val="22"/>
          <w:szCs w:val="22"/>
        </w:rPr>
        <w:t xml:space="preserve">De derde reden — het is over twee jaar de informatie om de herzieningsgrens te toetsen — is de meest praktische en de minst genoemde.</w:t>
      </w:r>
    </w:p>
    <w:p>
      <w:pPr>
        <w:spacing w:after="160" w:line="276"/>
      </w:pPr>
      <w:r>
        <w:rPr>
          <w:b/>
          <w:bCs/>
          <w:color w:val="1F2937"/>
          <w:sz w:val="22"/>
          <w:szCs w:val="22"/>
        </w:rPr>
        <w:t xml:space="preserve">Opdracht 21.3,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Groepen ontwerpen een reglement zonder escalatie.</w:t>
      </w:r>
      <w:r>
        <w:rPr>
          <w:color w:val="1F2937"/>
          <w:sz w:val="22"/>
          <w:szCs w:val="22"/>
        </w:rPr>
        <w:t xml:space="preserve"> Dat is precies de fout uit bijlage BS. Vraag: wat gebeurt er als u er niet uitkomt?</w:t>
      </w:r>
    </w:p>
    <w:p>
      <w:pPr>
        <w:pStyle w:val="ListParagraph"/>
        <w:numPr>
          <w:ilvl w:val="0"/>
          <w:numId w:val="4"/>
        </w:numPr>
        <w:spacing w:after="120"/>
      </w:pPr>
      <w:r>
        <w:rPr>
          <w:b/>
          <w:bCs/>
          <w:color w:val="1F2937"/>
          <w:sz w:val="22"/>
          <w:szCs w:val="22"/>
        </w:rPr>
        <w:t xml:space="preserve">Onderdeel f) wordt overgeslagen.</w:t>
      </w:r>
      <w:r>
        <w:rPr>
          <w:color w:val="1F2937"/>
          <w:sz w:val="22"/>
          <w:szCs w:val="22"/>
        </w:rPr>
        <w:t xml:space="preserve"> Elk besluitmodel heeft een faalwijze, en wie hem niet kan benoemen, heeft het model niet doordacht — zelfde toets als bij trade-offs in niveau 1.</w:t>
      </w:r>
    </w:p>
    <w:p>
      <w:pPr>
        <w:pStyle w:val="Heading2"/>
        <w:spacing w:after="140" w:before="260"/>
      </w:pPr>
      <w:r>
        <w:rPr>
          <w:b/>
          <w:bCs/>
          <w:color w:val="4A6789"/>
          <w:sz w:val="24"/>
          <w:szCs w:val="24"/>
        </w:rPr>
        <w:t xml:space="preserve">3.5 Modulelandschap en portfolio (slides 20–26)</w:t>
      </w:r>
    </w:p>
    <w:p>
      <w:pPr>
        <w:spacing w:after="160" w:line="276"/>
      </w:pPr>
      <w:r>
        <w:rPr>
          <w:b/>
          <w:bCs/>
          <w:color w:val="1F2937"/>
          <w:sz w:val="22"/>
          <w:szCs w:val="22"/>
        </w:rPr>
        <w:t xml:space="preserve">Wees terughoudend met aantallen. </w:t>
      </w:r>
      <w:r>
        <w:rPr>
          <w:color w:val="1F2937"/>
          <w:sz w:val="22"/>
          <w:szCs w:val="22"/>
        </w:rPr>
        <w:t xml:space="preserve">Verwijs naar isaqb.org, gebruik bijlage BT als momentopname met de waarschuwing erbij, en presenteer niets als vaststaand.</w:t>
      </w:r>
    </w:p>
    <w:p>
      <w:pPr>
        <w:spacing w:after="160" w:line="276"/>
      </w:pPr>
      <w:r>
        <w:rPr>
          <w:b/>
          <w:bCs/>
          <w:color w:val="1F2937"/>
          <w:sz w:val="22"/>
          <w:szCs w:val="22"/>
        </w:rPr>
        <w:t xml:space="preserve">Slide 22–23 zijn het inhoudelijke deel. </w:t>
      </w:r>
      <w:r>
        <w:rPr>
          <w:color w:val="1F2937"/>
          <w:sz w:val="22"/>
          <w:szCs w:val="22"/>
        </w:rPr>
        <w:t xml:space="preserve">De twee vragen zijn bruikbaar buiten deze context: waar biedt uw praktijk de minste oefening, en wat kunt u in uw werk niet leren.</w:t>
      </w:r>
    </w:p>
    <w:p>
      <w:pPr>
        <w:spacing w:after="160" w:line="276"/>
      </w:pPr>
      <w:r>
        <w:rPr>
          <w:b/>
          <w:bCs/>
          <w:color w:val="1F2937"/>
          <w:sz w:val="22"/>
          <w:szCs w:val="22"/>
        </w:rPr>
        <w:t xml:space="preserve">Slide 23 (de valkuil) is confronterend en waar. </w:t>
      </w:r>
      <w:r>
        <w:rPr>
          <w:color w:val="1F2937"/>
          <w:sz w:val="22"/>
          <w:szCs w:val="22"/>
        </w:rPr>
        <w:t xml:space="preserve">Laat deelnemers bij opdracht 21.4d hun eigen plan tellen: hoeveel technologisch, hoeveel communicatief? In de meeste plannen is drie kwart technologisch, terwijl het communicatieve gebied bij de meesten het zwakst is.</w:t>
      </w:r>
    </w:p>
    <w:p>
      <w:pPr>
        <w:spacing w:after="160" w:line="276"/>
      </w:pPr>
      <w:r>
        <w:rPr>
          <w:b/>
          <w:bCs/>
          <w:color w:val="1F2937"/>
          <w:sz w:val="22"/>
          <w:szCs w:val="22"/>
        </w:rPr>
        <w:t xml:space="preserve">Slide 24–26 over portfolio. </w:t>
      </w:r>
      <w:r>
        <w:rPr>
          <w:color w:val="1F2937"/>
          <w:sz w:val="22"/>
          <w:szCs w:val="22"/>
        </w:rPr>
        <w:t xml:space="preserve">Het scherpste punt is slide 26: mensen bewaren wat goed ging en gooien weg wat misging. Post-mortems verdwijnen, verworpen alternatieven worden niet genoteerd, en mislukte prototypes worden opgeruimd.</w:t>
      </w:r>
    </w:p>
    <w:p>
      <w:pPr>
        <w:spacing w:after="160" w:line="276"/>
      </w:pPr>
      <w:r>
        <w:rPr>
          <w:b/>
          <w:bCs/>
          <w:color w:val="1F2937"/>
          <w:sz w:val="22"/>
          <w:szCs w:val="22"/>
        </w:rPr>
        <w:t xml:space="preserve">Voor deelnemers die overwegen door te gaan naar het certificeringstraject, is dit de nuttigste vijf minuten van het dagdeel. </w:t>
      </w:r>
      <w:r>
        <w:rPr>
          <w:color w:val="1F2937"/>
          <w:sz w:val="22"/>
          <w:szCs w:val="22"/>
        </w:rPr>
        <w:t xml:space="preserve">Zeg het als actie: begin vandaag met vastleggen op een lopend traject, want reconstrueren levert een verhaal op en geen afweging.</w:t>
      </w:r>
    </w:p>
    <w:p>
      <w:pPr>
        <w:pStyle w:val="Heading2"/>
        <w:spacing w:after="140" w:before="260"/>
      </w:pPr>
      <w:r>
        <w:rPr>
          <w:b/>
          <w:bCs/>
          <w:color w:val="4A6789"/>
          <w:sz w:val="24"/>
          <w:szCs w:val="24"/>
        </w:rPr>
        <w:t xml:space="preserve">3.6 De drie patronen (slides 27–28)</w:t>
      </w:r>
    </w:p>
    <w:p>
      <w:pPr>
        <w:spacing w:after="160" w:line="276"/>
      </w:pPr>
      <w:r>
        <w:rPr>
          <w:b/>
          <w:bCs/>
          <w:color w:val="1F2937"/>
          <w:sz w:val="22"/>
          <w:szCs w:val="22"/>
        </w:rPr>
        <w:t xml:space="preserve">Dit is de afsluiting van niveau 2 en zij verdient de laatste twintig minuten.</w:t>
      </w:r>
      <w:r>
        <w:rPr>
          <w:color w:val="1F2937"/>
          <w:sz w:val="22"/>
          <w:szCs w:val="22"/>
        </w:rPr>
        <w:t xml:space="preserve"/>
      </w:r>
    </w:p>
    <w:p>
      <w:pPr>
        <w:spacing w:after="160" w:line="276"/>
      </w:pPr>
      <w:r>
        <w:rPr>
          <w:color w:val="1F2937"/>
          <w:sz w:val="22"/>
          <w:szCs w:val="22"/>
        </w:rPr>
        <w:t xml:space="preserve">Loop de drie patronen langs met hun vindplaatsen. Laat de groep de vindplaatsen zelf aandragen — dat werkt beter dan opsommen en het laat zien hoeveel er is blijven hangen.</w:t>
      </w:r>
    </w:p>
    <w:p>
      <w:pPr>
        <w:spacing w:after="160" w:line="276"/>
      </w:pPr>
      <w:r>
        <w:rPr>
          <w:b/>
          <w:bCs/>
          <w:color w:val="1F2937"/>
          <w:sz w:val="22"/>
          <w:szCs w:val="22"/>
        </w:rPr>
        <w:t xml:space="preserve">Patroon 2 is het herkenbaarst, </w:t>
      </w:r>
      <w:r>
        <w:rPr>
          <w:color w:val="1F2937"/>
          <w:sz w:val="22"/>
          <w:szCs w:val="22"/>
        </w:rPr>
        <w:t xml:space="preserve">want de borgingsladder is vier keer teruggekomen.</w:t>
      </w:r>
    </w:p>
    <w:p>
      <w:pPr>
        <w:spacing w:after="160" w:line="276"/>
      </w:pPr>
      <w:r>
        <w:rPr>
          <w:b/>
          <w:bCs/>
          <w:color w:val="1F2937"/>
          <w:sz w:val="22"/>
          <w:szCs w:val="22"/>
        </w:rPr>
        <w:t xml:space="preserve">Patroon 3 is het belangrijkst, </w:t>
      </w:r>
      <w:r>
        <w:rPr>
          <w:color w:val="1F2937"/>
          <w:sz w:val="22"/>
          <w:szCs w:val="22"/>
        </w:rPr>
        <w:t xml:space="preserve">want het is de brug naar niveau 3.</w:t>
      </w:r>
    </w:p>
    <w:p>
      <w:pPr>
        <w:spacing w:after="160" w:line="276"/>
      </w:pPr>
      <w:r>
        <w:rPr>
          <w:b/>
          <w:bCs/>
          <w:color w:val="1F2937"/>
          <w:sz w:val="22"/>
          <w:szCs w:val="22"/>
        </w:rPr>
        <w:t xml:space="preserve">Opdracht 21.6d als afsluitende oefening, </w:t>
      </w:r>
      <w:r>
        <w:rPr>
          <w:color w:val="1F2937"/>
          <w:sz w:val="22"/>
          <w:szCs w:val="22"/>
        </w:rPr>
        <w:t xml:space="preserve">ook als u de opdracht niet volledig doet: laat iedereen in twee minuten opschrijven welke besluiten in hun werk niet aan hen zijn, en of zij die voorleggen of stilzwijgend nemen.</w:t>
      </w:r>
    </w:p>
    <w:p>
      <w:pPr>
        <w:spacing w:after="160" w:line="276"/>
      </w:pPr>
      <w:r>
        <w:rPr>
          <w:b/>
          <w:bCs/>
          <w:color w:val="1F2937"/>
          <w:sz w:val="22"/>
          <w:szCs w:val="22"/>
        </w:rPr>
        <w:t xml:space="preserve">Het eerlijke antwoord is doorgaans gemengd, </w:t>
      </w:r>
      <w:r>
        <w:rPr>
          <w:color w:val="1F2937"/>
          <w:sz w:val="22"/>
          <w:szCs w:val="22"/>
        </w:rPr>
        <w:t xml:space="preserve">en de reden voor het stilzwijgend nemen is bijna altijd “anders blijft het liggen”. Dat is begrijpelijk en het is de situatie waarin architecten worden afgerekend op keuzes waarvoor zij het mandaat niet hadden.</w:t>
      </w:r>
    </w:p>
    <w:p>
      <w:pPr>
        <w:spacing w:after="160" w:line="276"/>
      </w:pPr>
      <w:r>
        <w:rPr>
          <w:color w:val="1F2937"/>
          <w:sz w:val="22"/>
          <w:szCs w:val="22"/>
        </w:rPr>
        <w:t xml:space="preserve">Sluit daarmee af. Het is de scherpste zin die u aan niveau 3 kunt meegeven.</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“Wij gaan niet over de teamindeling.” </w:t>
      </w:r>
      <w:r>
        <w:rPr>
          <w:color w:val="1F2937"/>
          <w:sz w:val="22"/>
          <w:szCs w:val="22"/>
        </w:rPr>
        <w:t xml:space="preserve">Correct, en dat staat ook zo in de reader. Het punt is niet dat u beslist maar dat u de gevolgen benoemt als toetsbare voorspelling. Slide 8 is de vorm; laat de deelnemer hem hardop oefenen voor zijn eigen situatie.</w:t>
      </w:r>
    </w:p>
    <w:p>
      <w:pPr>
        <w:spacing w:after="160" w:line="276"/>
      </w:pPr>
      <w:r>
        <w:rPr>
          <w:b/>
          <w:bCs/>
          <w:color w:val="1F2937"/>
          <w:sz w:val="22"/>
          <w:szCs w:val="22"/>
        </w:rPr>
        <w:t xml:space="preserve">De reorganisatiediscussie. </w:t>
      </w:r>
      <w:r>
        <w:rPr>
          <w:color w:val="1F2937"/>
          <w:sz w:val="22"/>
          <w:szCs w:val="22"/>
        </w:rPr>
        <w:t xml:space="preserve">Groepen uit organisaties die net gereorganiseerd hebben, willen erover praten. Geef er ruimte bij opdracht 21.1f en bewaak dat het niet in klagen verandert. De sturende vraag: welke architectuurgevolgen zijn benoemd, en door wie?</w:t>
      </w:r>
    </w:p>
    <w:p>
      <w:pPr>
        <w:spacing w:after="160" w:line="276"/>
      </w:pPr>
      <w:r>
        <w:rPr>
          <w:b/>
          <w:bCs/>
          <w:color w:val="1F2937"/>
          <w:sz w:val="22"/>
          <w:szCs w:val="22"/>
        </w:rPr>
        <w:t xml:space="preserve">“Het certificeringstraject is te duur voor ons.” </w:t>
      </w:r>
      <w:r>
        <w:rPr>
          <w:color w:val="1F2937"/>
          <w:sz w:val="22"/>
          <w:szCs w:val="22"/>
        </w:rPr>
        <w:t xml:space="preserve">Reëel bezwaar. Het eerlijke antwoord: de inhoudelijke kennis uit deze cursus is niet afhankelijk van de certificering, en het traject is vooral waardevol voor wie het als consultant nodig heeft of wie de externe erkenning zoekt. Verkoop het niet.</w:t>
      </w:r>
    </w:p>
    <w:p>
      <w:pPr>
        <w:spacing w:after="160" w:line="276"/>
      </w:pPr>
      <w:r>
        <w:rPr>
          <w:b/>
          <w:bCs/>
          <w:color w:val="1F2937"/>
          <w:sz w:val="22"/>
          <w:szCs w:val="22"/>
        </w:rPr>
        <w:t xml:space="preserve">Deelnemers vragen naar exacte puntenaantallen. </w:t>
      </w:r>
      <w:r>
        <w:rPr>
          <w:color w:val="1F2937"/>
          <w:sz w:val="22"/>
          <w:szCs w:val="22"/>
        </w:rPr>
        <w:t xml:space="preserve">Verwijs consequent naar isaqb.org. Als u het niet weet, zeg dat — dat is beter dan een getal noemen dat gewijzigd blijkt.</w:t>
      </w:r>
    </w:p>
    <w:p>
      <w:pPr>
        <w:spacing w:after="160" w:line="276"/>
      </w:pPr>
      <w:r>
        <w:rPr>
          <w:b/>
          <w:bCs/>
          <w:color w:val="1F2937"/>
          <w:sz w:val="22"/>
          <w:szCs w:val="22"/>
        </w:rPr>
        <w:t xml:space="preserve">Iemand heeft geen geschikte certificeringsopdracht. </w:t>
      </w:r>
      <w:r>
        <w:rPr>
          <w:color w:val="1F2937"/>
          <w:sz w:val="22"/>
          <w:szCs w:val="22"/>
        </w:rPr>
        <w:t xml:space="preserve">Komt regelmatig voor bij mensen in beheerrollen of in kleine organisaties. Het advies uit de reader is concreet: kies een lopend traject en begin vandaag met vastleggen. Dat is niet ontwijkend maar de enige werkbare route.</w:t>
      </w:r>
    </w:p>
    <w:p>
      <w:pPr>
        <w:pStyle w:val="Heading1"/>
        <w:pBdr>
          <w:bottom w:val="single" w:color="E5E7EB" w:sz="6" w:space="6"/>
        </w:pBdr>
        <w:spacing w:after="180" w:before="380"/>
      </w:pPr>
      <w:r>
        <w:rPr>
          <w:b/>
          <w:bCs/>
          <w:color w:val="1F3A5F"/>
          <w:sz w:val="30"/>
          <w:szCs w:val="30"/>
        </w:rPr>
        <w:t xml:space="preserve">5. Signalen om mee te nemen naar niveau 3</w:t>
      </w:r>
    </w:p>
    <w:p>
      <w:pPr>
        <w:pStyle w:val="ListParagraph"/>
        <w:numPr>
          <w:ilvl w:val="0"/>
          <w:numId w:val="5"/>
        </w:numPr>
        <w:spacing w:after="120"/>
      </w:pPr>
      <w:r>
        <w:rPr>
          <w:b/>
          <w:bCs/>
          <w:color w:val="1F2937"/>
          <w:sz w:val="22"/>
          <w:szCs w:val="22"/>
        </w:rPr>
        <w:t xml:space="preserve">Wie kan bij opdracht 21.6d geen lijst maken van besluiten die niet aan hem zijn?</w:t>
      </w:r>
      <w:r>
        <w:rPr>
          <w:color w:val="1F2937"/>
          <w:sz w:val="22"/>
          <w:szCs w:val="22"/>
        </w:rPr>
        <w:t xml:space="preserve"> Dat is het duidelijkste signaal voor problemen in het examinatoreninterview, waar de rolgrens expliciet wordt getoetst.</w:t>
      </w:r>
    </w:p>
    <w:p>
      <w:pPr>
        <w:pStyle w:val="ListParagraph"/>
        <w:numPr>
          <w:ilvl w:val="0"/>
          <w:numId w:val="5"/>
        </w:numPr>
        <w:spacing w:after="120"/>
      </w:pPr>
      <w:r>
        <w:rPr>
          <w:b/>
          <w:bCs/>
          <w:color w:val="1F2937"/>
          <w:sz w:val="22"/>
          <w:szCs w:val="22"/>
        </w:rPr>
        <w:t xml:space="preserve">Wiens inkoopplan is overwegend technologisch?</w:t>
      </w:r>
      <w:r>
        <w:rPr>
          <w:color w:val="1F2937"/>
          <w:sz w:val="22"/>
          <w:szCs w:val="22"/>
        </w:rPr>
        <w:t xml:space="preserve"> Komt tekort in het gebied waarop het interview vooral toetst.</w:t>
      </w:r>
    </w:p>
    <w:p>
      <w:pPr>
        <w:pStyle w:val="ListParagraph"/>
        <w:numPr>
          <w:ilvl w:val="0"/>
          <w:numId w:val="5"/>
        </w:numPr>
        <w:spacing w:after="120"/>
      </w:pPr>
      <w:r>
        <w:rPr>
          <w:b/>
          <w:bCs/>
          <w:color w:val="1F2937"/>
          <w:sz w:val="22"/>
          <w:szCs w:val="22"/>
        </w:rPr>
        <w:t xml:space="preserve">Wie heeft van geen enkel project beslissingen vastgelegd terwijl hij ze nam?</w:t>
      </w:r>
      <w:r>
        <w:rPr>
          <w:color w:val="1F2937"/>
          <w:sz w:val="22"/>
          <w:szCs w:val="22"/>
        </w:rPr>
        <w:t xml:space="preserve"> Heeft een tijdlijnprobleem dat vandaag oplosbaar is en over een halfjaar niet meer.</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21</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BQ: de drie teamindelingsvoorstellen met de destijds gebruikte argumenten</w:t>
      </w:r>
    </w:p>
    <w:p>
      <w:pPr>
        <w:pStyle w:val="ListParagraph"/>
        <w:numPr>
          <w:ilvl w:val="0"/>
          <w:numId w:val="3"/>
        </w:numPr>
        <w:spacing w:after="100"/>
      </w:pPr>
      <w:r>
        <w:rPr>
          <w:b/>
          <w:bCs/>
          <w:color w:val="1F2937"/>
          <w:sz w:val="22"/>
          <w:szCs w:val="22"/>
        </w:rPr>
        <w:t xml:space="preserve">Bijlage BR: doorlooptijden per mutatiesoort over twaalf sprints</w:t>
      </w:r>
      <w:r>
        <w:rPr>
          <w:color w:val="1F2937"/>
          <w:sz w:val="22"/>
          <w:szCs w:val="22"/>
        </w:rPr>
        <w:t xml:space="preserve"> — het bewijsmateriaal voor de verdubbeling</w:t>
      </w:r>
    </w:p>
    <w:p>
      <w:pPr>
        <w:pStyle w:val="ListParagraph"/>
        <w:numPr>
          <w:ilvl w:val="0"/>
          <w:numId w:val="3"/>
        </w:numPr>
        <w:spacing w:after="100"/>
      </w:pPr>
      <w:r>
        <w:rPr>
          <w:color w:val="1F2937"/>
          <w:sz w:val="22"/>
          <w:szCs w:val="22"/>
        </w:rPr>
        <w:t xml:space="preserve">Bijlage BS: het gremiumreglement plus notulen van drie vastgelopen bijeenkomsten</w:t>
      </w:r>
    </w:p>
    <w:p>
      <w:pPr>
        <w:pStyle w:val="ListParagraph"/>
        <w:numPr>
          <w:ilvl w:val="0"/>
          <w:numId w:val="3"/>
        </w:numPr>
        <w:spacing w:after="100"/>
      </w:pPr>
      <w:r>
        <w:rPr>
          <w:b/>
          <w:bCs/>
          <w:color w:val="1F2937"/>
          <w:sz w:val="22"/>
          <w:szCs w:val="22"/>
        </w:rPr>
        <w:t xml:space="preserve">Bijlage BT: momentopname van het modulelandschap, met waarschuwing</w:t>
      </w:r>
      <w:r>
        <w:rPr>
          <w:color w:val="1F2937"/>
          <w:sz w:val="22"/>
          <w:szCs w:val="22"/>
        </w:rPr>
        <w:t xml:space="preserve"> — controleer voor elke uitvoering of zij nog actueel is</w:t>
      </w:r>
    </w:p>
    <w:p>
      <w:pPr>
        <w:pStyle w:val="ListParagraph"/>
        <w:numPr>
          <w:ilvl w:val="0"/>
          <w:numId w:val="3"/>
        </w:numPr>
        <w:spacing w:after="100"/>
      </w:pPr>
      <w:r>
        <w:rPr>
          <w:color w:val="1F2937"/>
          <w:sz w:val="22"/>
          <w:szCs w:val="22"/>
        </w:rPr>
        <w:t xml:space="preserve">De volledige dossiers van de deelnemers uit niveau 1 en 2</w:t>
      </w:r>
    </w:p>
    <w:p>
      <w:pPr>
        <w:pStyle w:val="ListParagraph"/>
        <w:numPr>
          <w:ilvl w:val="0"/>
          <w:numId w:val="3"/>
        </w:numPr>
        <w:spacing w:after="100"/>
      </w:pPr>
      <w:r>
        <w:rPr>
          <w:color w:val="1F2937"/>
          <w:sz w:val="22"/>
          <w:szCs w:val="22"/>
        </w:rPr>
        <w:t xml:space="preserve">De ADR's met herzieningsgrenzen, voor de patroonoefening</w:t>
      </w:r>
    </w:p>
    <w:p>
      <w:pPr>
        <w:pStyle w:val="Heading1"/>
        <w:pBdr>
          <w:bottom w:val="single" w:color="E5E7EB" w:sz="6" w:space="6"/>
        </w:pBdr>
        <w:spacing w:after="180" w:before="380"/>
      </w:pPr>
      <w:r>
        <w:rPr>
          <w:b/>
          <w:bCs/>
          <w:color w:val="1F3A5F"/>
          <w:sz w:val="30"/>
          <w:szCs w:val="30"/>
        </w:rPr>
        <w:t xml:space="preserve">7. Aansluiting op niveau 3</w:t>
      </w:r>
    </w:p>
    <w:p>
      <w:pPr>
        <w:spacing w:after="160" w:line="276"/>
      </w:pPr>
      <w:r>
        <w:rPr>
          <w:color w:val="1F2937"/>
          <w:sz w:val="22"/>
          <w:szCs w:val="22"/>
        </w:rPr>
        <w:t xml:space="preserve">Niveau 3 begeleidt het certificeringstraject: een eigen opdracht, en als sluitstuk een simulatie van het examinatoreninterview. De casus maakt een tijdsprong — Meridiaan neemt een kleiner fonds over en het platform moet van één fonds naar multi-tenant, terwijl de stelselovergang doorloopt.</w:t>
      </w:r>
    </w:p>
    <w:p>
      <w:pPr>
        <w:spacing w:after="160" w:line="276"/>
      </w:pPr>
      <w:r>
        <w:rPr>
          <w:b/>
          <w:bCs/>
          <w:color w:val="1F2937"/>
          <w:sz w:val="22"/>
          <w:szCs w:val="22"/>
        </w:rPr>
        <w:t xml:space="preserve">De brug: </w:t>
      </w:r>
      <w:r>
        <w:rPr>
          <w:i/>
          <w:iCs/>
          <w:color w:val="1F2937"/>
          <w:sz w:val="22"/>
          <w:szCs w:val="22"/>
        </w:rPr>
        <w:t xml:space="preserve">u hebt nu twee niveaus achter de rug: een ontwerp verdedigd, en het gebouwd zien worden met alles wat daarbij misging. Niveau 3 gaat over uw eigen werk in plaats van over Meridiaan — en over de vaardigheid die in dit dagdeel voor het laatst is genoemd: onderscheiden waar u over gaat en waar niet, en dat overtuigend kunnen uitleggen aan iemand die u toetst.</w:t>
      </w:r>
    </w:p>
    <w:p>
      <w:pPr>
        <w:pBdr>
          <w:top w:val="single" w:color="E5E7EB" w:sz="4" w:space="8"/>
        </w:pBdr>
        <w:spacing w:before="400"/>
        <w:jc w:val="center"/>
      </w:pPr>
      <w:r>
        <w:rPr>
          <w:i/>
          <w:iCs/>
          <w:color w:val="6B7280"/>
          <w:sz w:val="17"/>
          <w:szCs w:val="17"/>
        </w:rPr>
        <w:t xml:space="preserve">Ductus B.V. · Cursus Softwarearchitectuur · Niveau 2, deel 21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2026-08-17T19:41:13.697Z</dcterms:created>
  <dcterms:modified xsi:type="dcterms:W3CDTF">2026-08-17T19:41:13.698Z</dcterms:modified>
</cp:coreProperties>
</file>

<file path=docProps/custom.xml><?xml version="1.0" encoding="utf-8"?>
<Properties xmlns="http://schemas.openxmlformats.org/officeDocument/2006/custom-properties" xmlns:vt="http://schemas.openxmlformats.org/officeDocument/2006/docPropsVTypes"/>
</file>