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color w:val="1F3A5F"/>
          <w:sz w:val="44"/>
          <w:szCs w:val="44"/>
        </w:rPr>
        <w:t xml:space="preserve">Deel 21 — Teamindeling, credit points en tussenbeoordeling</w:t>
      </w:r>
    </w:p>
    <w:p>
      <w:pPr>
        <w:spacing w:after="200"/>
      </w:pPr>
      <w:r>
        <w:rPr>
          <w:b/>
          <w:bCs/>
          <w:color w:val="4A6789"/>
          <w:sz w:val="26"/>
          <w:szCs w:val="26"/>
        </w:rPr>
        <w:t xml:space="preserve">Deelnemersreader</w:t>
      </w:r>
    </w:p>
    <w:p>
      <w:pPr>
        <w:spacing w:after="400"/>
      </w:pPr>
      <w:r>
        <w:rPr>
          <w:color w:val="6B7280"/>
          <w:sz w:val="20"/>
          <w:szCs w:val="20"/>
        </w:rPr>
        <w:t xml:space="preserve">Cursus Softwarearchitectuur · Niveau 2 (CPSA-A) · Deel 21 van 28</w:t>
      </w:r>
    </w:p>
    <w:p>
      <w:pPr>
        <w:pStyle w:val="Heading2"/>
        <w:spacing w:after="140" w:before="260"/>
      </w:pPr>
      <w:r>
        <w:rPr>
          <w:b/>
          <w:bCs/>
          <w:color w:val="4A6789"/>
          <w:sz w:val="24"/>
          <w:szCs w:val="24"/>
        </w:rPr>
        <w:t xml:space="preserve">Positionering</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tblGrid>
      <w:tr>
        <w:tc>
          <w:tcPr>
            <w:tcBorders>
              <w:top w:val="single" w:color="4A6789" w:sz="4"/>
              <w:left w:val="single" w:color="1F3A5F" w:sz="24"/>
              <w:bottom w:val="single" w:color="E5E7EB" w:sz="4"/>
              <w:right w:val="single" w:color="E5E7EB" w:sz="4"/>
            </w:tcBorders>
            <w:shd w:fill="F3F4F6" w:val="clear"/>
            <w:tcMar>
              <w:top w:type="dxa" w:w="160"/>
              <w:left w:type="dxa" w:w="220"/>
              <w:bottom w:type="dxa" w:w="160"/>
              <w:right w:type="dxa" w:w="220"/>
            </w:tcMar>
          </w:tcPr>
          <w:p>
            <w:r>
              <w:rPr>
                <w:i/>
                <w:iCs/>
                <w:color w:val="1F2937"/>
                <w:sz w:val="21"/>
                <w:szCs w:val="21"/>
              </w:rPr>
              <w:t xml:space="preserve">Voorbereiding op het CPSA-Advanced-traject van het iSAQB; deze cursus is geen geaccrediteerde training en levert geen credit points. Raadpleeg isaqb.org voor het actuele modulelandschap en de actuele certificeringsvoorwaarden — die kunnen wijzigen, en dit deel gaat expliciet over uw route daarheen.</w:t>
            </w:r>
          </w:p>
        </w:tc>
      </w:tr>
    </w:tbl>
    <w:p>
      <w:pPr>
        <w:spacing w:after="160" w:line="276"/>
      </w:pPr>
      <w:r>
        <w:rPr>
          <w:i/>
          <w:iCs/>
          <w:color w:val="6B7280"/>
          <w:sz w:val="22"/>
          <w:szCs w:val="22"/>
        </w:rPr>
        <w:t xml:space="preserve">Competentiegebieden: methodisch en communicatief · sluitstuk van niveau 2</w:t>
      </w:r>
    </w:p>
    <w:p>
      <w:pPr>
        <w:pStyle w:val="Heading1"/>
        <w:pBdr>
          <w:bottom w:val="single" w:color="E5E7EB" w:sz="6" w:space="6"/>
        </w:pBdr>
        <w:spacing w:after="180" w:before="380"/>
      </w:pPr>
      <w:r>
        <w:rPr>
          <w:b/>
          <w:bCs/>
          <w:color w:val="1F3A5F"/>
          <w:sz w:val="30"/>
          <w:szCs w:val="30"/>
        </w:rPr>
        <w:t xml:space="preserve">Leerdoelen van dit deel</w:t>
      </w:r>
    </w:p>
    <w:p>
      <w:pPr>
        <w:spacing w:after="160" w:line="276"/>
      </w:pPr>
      <w:r>
        <w:rPr>
          <w:color w:val="1F2937"/>
          <w:sz w:val="22"/>
          <w:szCs w:val="22"/>
        </w:rPr>
        <w:t xml:space="preserve">Na dit deel kunt u:</w:t>
      </w:r>
    </w:p>
    <w:p>
      <w:pPr>
        <w:pStyle w:val="ListParagraph"/>
        <w:numPr>
          <w:ilvl w:val="0"/>
          <w:numId w:val="2"/>
        </w:numPr>
        <w:spacing w:after="120"/>
      </w:pPr>
      <w:r>
        <w:rPr>
          <w:color w:val="1F2937"/>
          <w:sz w:val="22"/>
          <w:szCs w:val="22"/>
        </w:rPr>
        <w:t xml:space="preserve">de wet van Conway toepassen en uitleggen waarom teamindeling een architectuurvraag is;</w:t>
      </w:r>
    </w:p>
    <w:p>
      <w:pPr>
        <w:pStyle w:val="ListParagraph"/>
        <w:numPr>
          <w:ilvl w:val="0"/>
          <w:numId w:val="2"/>
        </w:numPr>
        <w:spacing w:after="120"/>
      </w:pPr>
      <w:r>
        <w:rPr>
          <w:color w:val="1F2937"/>
          <w:sz w:val="22"/>
          <w:szCs w:val="22"/>
        </w:rPr>
        <w:t xml:space="preserve">de omgekeerde beweging maken: de organisatie aanpassen aan de gewenste architectuur;</w:t>
      </w:r>
    </w:p>
    <w:p>
      <w:pPr>
        <w:pStyle w:val="ListParagraph"/>
        <w:numPr>
          <w:ilvl w:val="0"/>
          <w:numId w:val="2"/>
        </w:numPr>
        <w:spacing w:after="120"/>
      </w:pPr>
      <w:r>
        <w:rPr>
          <w:color w:val="1F2937"/>
          <w:sz w:val="22"/>
          <w:szCs w:val="22"/>
        </w:rPr>
        <w:t xml:space="preserve">het gremium uit niveau 1 doorontwikkelen tot een werkend besluitmodel met escalatie;</w:t>
      </w:r>
    </w:p>
    <w:p>
      <w:pPr>
        <w:pStyle w:val="ListParagraph"/>
        <w:numPr>
          <w:ilvl w:val="0"/>
          <w:numId w:val="2"/>
        </w:numPr>
        <w:spacing w:after="120"/>
      </w:pPr>
      <w:r>
        <w:rPr>
          <w:color w:val="1F2937"/>
          <w:sz w:val="22"/>
          <w:szCs w:val="22"/>
        </w:rPr>
        <w:t xml:space="preserve">uw eigen positie bepalen in het CPSA-A-modulelandschap en een inkoopplan maken;</w:t>
      </w:r>
    </w:p>
    <w:p>
      <w:pPr>
        <w:pStyle w:val="ListParagraph"/>
        <w:numPr>
          <w:ilvl w:val="0"/>
          <w:numId w:val="2"/>
        </w:numPr>
        <w:spacing w:after="120"/>
      </w:pPr>
      <w:r>
        <w:rPr>
          <w:color w:val="1F2937"/>
          <w:sz w:val="22"/>
          <w:szCs w:val="22"/>
        </w:rPr>
        <w:t xml:space="preserve">uw portfolio beoordelen op geschiktheid voor het certificeringstraject;</w:t>
      </w:r>
    </w:p>
    <w:p>
      <w:pPr>
        <w:pStyle w:val="ListParagraph"/>
        <w:numPr>
          <w:ilvl w:val="0"/>
          <w:numId w:val="2"/>
        </w:numPr>
        <w:spacing w:after="120"/>
      </w:pPr>
      <w:r>
        <w:rPr>
          <w:color w:val="1F2937"/>
          <w:sz w:val="22"/>
          <w:szCs w:val="22"/>
        </w:rPr>
        <w:t xml:space="preserve">de boog van niveau 2 overzien en bepalen wat u meeneemt naar niveau 3.</w:t>
      </w:r>
    </w:p>
    <w:p>
      <w:pPr>
        <w:pStyle w:val="Heading1"/>
        <w:pBdr>
          <w:bottom w:val="single" w:color="E5E7EB" w:sz="6" w:space="6"/>
        </w:pBdr>
        <w:spacing w:after="180" w:before="380"/>
      </w:pPr>
      <w:r>
        <w:rPr>
          <w:b/>
          <w:bCs/>
          <w:color w:val="1F3A5F"/>
          <w:sz w:val="30"/>
          <w:szCs w:val="30"/>
        </w:rPr>
        <w:t xml:space="preserve">21.1 De aanleiding: het derde team</w:t>
      </w:r>
    </w:p>
    <w:p>
      <w:pPr>
        <w:spacing w:after="160" w:line="276"/>
      </w:pPr>
      <w:r>
        <w:rPr>
          <w:color w:val="1F2937"/>
          <w:sz w:val="22"/>
          <w:szCs w:val="22"/>
        </w:rPr>
        <w:t xml:space="preserve">In deel 13 kwam er een derde ontwikkelteam bij. De vraag die toen niet werd gesteld, is: </w:t>
      </w:r>
      <w:r>
        <w:rPr>
          <w:b/>
          <w:bCs/>
          <w:color w:val="1F2937"/>
          <w:sz w:val="22"/>
          <w:szCs w:val="22"/>
        </w:rPr>
        <w:t xml:space="preserve">waar snijden we de teams?</w:t>
      </w:r>
    </w:p>
    <w:p>
      <w:pPr>
        <w:spacing w:after="160" w:line="276"/>
      </w:pPr>
      <w:r>
        <w:rPr>
          <w:color w:val="1F2937"/>
          <w:sz w:val="22"/>
          <w:szCs w:val="22"/>
        </w:rPr>
        <w:t xml:space="preserve">Er lagen drie voorstellen op tafel:</w:t>
      </w:r>
    </w:p>
    <w:p>
      <w:pPr>
        <w:pStyle w:val="ListParagraph"/>
        <w:numPr>
          <w:ilvl w:val="0"/>
          <w:numId w:val="3"/>
        </w:numPr>
        <w:spacing w:after="120"/>
      </w:pPr>
      <w:r>
        <w:rPr>
          <w:b/>
          <w:bCs/>
          <w:color w:val="1F2937"/>
          <w:sz w:val="22"/>
          <w:szCs w:val="22"/>
        </w:rPr>
        <w:t xml:space="preserve">Naar technische laag</w:t>
      </w:r>
      <w:r>
        <w:rPr>
          <w:color w:val="1F2937"/>
          <w:sz w:val="22"/>
          <w:szCs w:val="22"/>
        </w:rPr>
        <w:t xml:space="preserve"> — een frontendteam, een backendteam, een integratieteam.</w:t>
      </w:r>
    </w:p>
    <w:p>
      <w:pPr>
        <w:pStyle w:val="ListParagraph"/>
        <w:numPr>
          <w:ilvl w:val="0"/>
          <w:numId w:val="3"/>
        </w:numPr>
        <w:spacing w:after="120"/>
      </w:pPr>
      <w:r>
        <w:rPr>
          <w:b/>
          <w:bCs/>
          <w:color w:val="1F2937"/>
          <w:sz w:val="22"/>
          <w:szCs w:val="22"/>
        </w:rPr>
        <w:t xml:space="preserve">Naar mutatiesoort</w:t>
      </w:r>
      <w:r>
        <w:rPr>
          <w:color w:val="1F2937"/>
          <w:sz w:val="22"/>
          <w:szCs w:val="22"/>
        </w:rPr>
        <w:t xml:space="preserve"> — team A doet adres en e-mail, team B scheiding en overlijden, team C waardeoverdracht en nabestaandendekking.</w:t>
      </w:r>
    </w:p>
    <w:p>
      <w:pPr>
        <w:pStyle w:val="ListParagraph"/>
        <w:numPr>
          <w:ilvl w:val="0"/>
          <w:numId w:val="3"/>
        </w:numPr>
        <w:spacing w:after="120"/>
      </w:pPr>
      <w:r>
        <w:rPr>
          <w:b/>
          <w:bCs/>
          <w:color w:val="1F2937"/>
          <w:sz w:val="22"/>
          <w:szCs w:val="22"/>
        </w:rPr>
        <w:t xml:space="preserve">Naar fase</w:t>
      </w:r>
      <w:r>
        <w:rPr>
          <w:color w:val="1F2937"/>
          <w:sz w:val="22"/>
          <w:szCs w:val="22"/>
        </w:rPr>
        <w:t xml:space="preserve"> — een bouwteam en een beheerteam.</w:t>
      </w:r>
    </w:p>
    <w:p>
      <w:pPr>
        <w:spacing w:after="160" w:line="276"/>
      </w:pPr>
      <w:r>
        <w:rPr>
          <w:color w:val="1F2937"/>
          <w:sz w:val="22"/>
          <w:szCs w:val="22"/>
        </w:rPr>
        <w:t xml:space="preserve">Het management koos voorstel 1, omdat dat het beste aansloot bij de bestaande functieprofielen.</w:t>
      </w:r>
    </w:p>
    <w:p>
      <w:pPr>
        <w:spacing w:after="160" w:line="276"/>
      </w:pPr>
      <w:r>
        <w:rPr>
          <w:b/>
          <w:bCs/>
          <w:color w:val="1F2937"/>
          <w:sz w:val="22"/>
          <w:szCs w:val="22"/>
        </w:rPr>
        <w:t xml:space="preserve">Drie sprints later </w:t>
      </w:r>
      <w:r>
        <w:rPr>
          <w:color w:val="1F2937"/>
          <w:sz w:val="22"/>
          <w:szCs w:val="22"/>
        </w:rPr>
        <w:t xml:space="preserve">was de doorlooptijd van een nieuwe mutatiesoort verdubbeld. Elke soort raakte alle drie de teams, elke wijziging vroeg afstemming, en de architect werd de facto coördinator van werk dat eerder binnen één team viel.</w:t>
      </w:r>
    </w:p>
    <w:p>
      <w:pPr>
        <w:spacing w:after="160" w:line="276"/>
      </w:pPr>
      <w:r>
        <w:rPr>
          <w:b/>
          <w:bCs/>
          <w:color w:val="1F2937"/>
          <w:sz w:val="22"/>
          <w:szCs w:val="22"/>
        </w:rPr>
        <w:t xml:space="preserve">Dat is de wet van Conway, en zij werkte tegen het ontwerp in.</w:t>
      </w:r>
      <w:r>
        <w:rPr>
          <w:color w:val="1F2937"/>
          <w:sz w:val="22"/>
          <w:szCs w:val="22"/>
        </w:rPr>
        <w:t xml:space="preserve"/>
      </w:r>
    </w:p>
    <w:p>
      <w:pPr>
        <w:pStyle w:val="Heading1"/>
        <w:pBdr>
          <w:bottom w:val="single" w:color="E5E7EB" w:sz="6" w:space="6"/>
        </w:pBdr>
        <w:spacing w:after="180" w:before="380"/>
      </w:pPr>
      <w:r>
        <w:rPr>
          <w:b/>
          <w:bCs/>
          <w:color w:val="1F3A5F"/>
          <w:sz w:val="30"/>
          <w:szCs w:val="30"/>
        </w:rPr>
        <w:t xml:space="preserve">21.2 De wet van Conway</w:t>
      </w:r>
    </w:p>
    <w:p>
      <w:pPr>
        <w:spacing w:after="160" w:line="276"/>
      </w:pPr>
      <w:r>
        <w:rPr>
          <w:color w:val="1F2937"/>
          <w:sz w:val="22"/>
          <w:szCs w:val="22"/>
        </w:rPr>
        <w:t xml:space="preserve">De observatie luidt: </w:t>
      </w:r>
      <w:r>
        <w:rPr>
          <w:b/>
          <w:bCs/>
          <w:color w:val="1F2937"/>
          <w:sz w:val="22"/>
          <w:szCs w:val="22"/>
        </w:rPr>
        <w:t xml:space="preserve">de structuur van een systeem weerspiegelt de communicatiestructuur van de organisatie die het bouwt.</w:t>
      </w:r>
    </w:p>
    <w:p>
      <w:pPr>
        <w:spacing w:after="160" w:line="276"/>
      </w:pPr>
      <w:r>
        <w:rPr>
          <w:color w:val="1F2937"/>
          <w:sz w:val="22"/>
          <w:szCs w:val="22"/>
        </w:rPr>
        <w:t xml:space="preserve">Dat is geen wetmatigheid maar een sterke tendens, en het mechanisme is eenvoudig: binnen een team is afstemmen goedkoop, tussen teams duur. Ontwerpkeuzes die veel afstemming vragen tussen teams, worden vermeden; keuzes die binnen één team blijven, worden gekozen — ongeacht wat de architectuur voorschrijft.</w:t>
      </w:r>
    </w:p>
    <w:p>
      <w:pPr>
        <w:spacing w:after="160" w:line="276"/>
      </w:pPr>
      <w:r>
        <w:rPr>
          <w:b/>
          <w:bCs/>
          <w:color w:val="1F2937"/>
          <w:sz w:val="22"/>
          <w:szCs w:val="22"/>
        </w:rPr>
        <w:t xml:space="preserve">Voor Meridiaan betekende dat concreet: </w:t>
      </w:r>
      <w:r>
        <w:rPr>
          <w:color w:val="1F2937"/>
          <w:sz w:val="22"/>
          <w:szCs w:val="22"/>
        </w:rPr>
        <w:t xml:space="preserve">met teams naar technische laag ontstaan koppelvlakken tussen lagen, want daar loopt de teamgrens. De domeinindeling uit deel 3 — naar mutatiesoort — kreeg geen organisatorische ondersteuning en erodeerde.</w:t>
      </w:r>
    </w:p>
    <w:p>
      <w:pPr>
        <w:spacing w:after="160" w:line="276"/>
      </w:pPr>
      <w:r>
        <w:rPr>
          <w:b/>
          <w:bCs/>
          <w:color w:val="1F2937"/>
          <w:sz w:val="22"/>
          <w:szCs w:val="22"/>
        </w:rPr>
        <w:t xml:space="preserve">De omgekeerde beweging. </w:t>
      </w:r>
      <w:r>
        <w:rPr>
          <w:color w:val="1F2937"/>
          <w:sz w:val="22"/>
          <w:szCs w:val="22"/>
        </w:rPr>
        <w:t xml:space="preserve">Als de organisatiestructuur de systeemstructuur bepaalt, dan kunt u de organisatie aanpassen aan de architectuur die u wilt. Dat heet </w:t>
      </w:r>
      <w:r>
        <w:rPr>
          <w:i/>
          <w:iCs/>
          <w:color w:val="1F2937"/>
          <w:sz w:val="22"/>
          <w:szCs w:val="22"/>
        </w:rPr>
        <w:t xml:space="preserve">inverse Conway</w:t>
      </w:r>
      <w:r>
        <w:rPr>
          <w:color w:val="1F2937"/>
          <w:sz w:val="22"/>
          <w:szCs w:val="22"/>
        </w:rPr>
        <w:t xml:space="preserve">, en het is de reden dat teamindeling een architectuurvraag is en niet uitsluitend een HR-vraag.</w:t>
      </w:r>
    </w:p>
    <w:p>
      <w:pPr>
        <w:spacing w:after="160" w:line="276"/>
      </w:pPr>
      <w:r>
        <w:rPr>
          <w:b/>
          <w:bCs/>
          <w:color w:val="1F2937"/>
          <w:sz w:val="22"/>
          <w:szCs w:val="22"/>
        </w:rPr>
        <w:t xml:space="preserve">Praktisch betekent dat: </w:t>
      </w:r>
      <w:r>
        <w:rPr>
          <w:color w:val="1F2937"/>
          <w:sz w:val="22"/>
          <w:szCs w:val="22"/>
        </w:rPr>
        <w:t xml:space="preserve">wanneer u kiest voor een indeling naar mutatiesoort, horen de teams langs diezelfde as te lopen. Voorstel 2 was dus het juiste, en het is afgevallen op een argument — aansluiten bij functieprofielen — dat de architectuurgevolgen niet meewoog.</w:t>
      </w:r>
    </w:p>
    <w:p>
      <w:pPr>
        <w:spacing w:after="160" w:line="276"/>
      </w:pPr>
      <w:r>
        <w:rPr>
          <w:b/>
          <w:bCs/>
          <w:color w:val="1F2937"/>
          <w:sz w:val="22"/>
          <w:szCs w:val="22"/>
        </w:rPr>
        <w:t xml:space="preserve">Wat dit niet betekent. </w:t>
      </w:r>
      <w:r>
        <w:rPr>
          <w:color w:val="1F2937"/>
          <w:sz w:val="22"/>
          <w:szCs w:val="22"/>
        </w:rPr>
        <w:t xml:space="preserve">Het betekent niet dat de architect over de teamindeling gaat. Het betekent dat hij de gevolgen ervan moet benoemen, in de taal van deel 19: </w:t>
      </w:r>
      <w:r>
        <w:rPr>
          <w:i/>
          <w:iCs/>
          <w:color w:val="1F2937"/>
          <w:sz w:val="22"/>
          <w:szCs w:val="22"/>
        </w:rPr>
        <w:t xml:space="preserve">“met deze indeling verdubbelt naar verwachting de doorlooptijd van een nieuwe mutatiesoort, omdat elke soort alle drie de teams raakt.”</w:t>
      </w:r>
      <w:r>
        <w:rPr>
          <w:color w:val="1F2937"/>
          <w:sz w:val="22"/>
          <w:szCs w:val="22"/>
        </w:rPr>
        <w:t xml:space="preserve"> Dat is een voorspelling die toetsbaar is, en zij is uitgekomen.</w:t>
      </w:r>
    </w:p>
    <w:p>
      <w:pPr>
        <w:pStyle w:val="Heading1"/>
        <w:pBdr>
          <w:bottom w:val="single" w:color="E5E7EB" w:sz="6" w:space="6"/>
        </w:pBdr>
        <w:spacing w:after="180" w:before="380"/>
      </w:pPr>
      <w:r>
        <w:rPr>
          <w:b/>
          <w:bCs/>
          <w:color w:val="1F3A5F"/>
          <w:sz w:val="30"/>
          <w:szCs w:val="30"/>
        </w:rPr>
        <w:t xml:space="preserve">21.3 Teams die architectuur dragen</w:t>
      </w:r>
    </w:p>
    <w:p>
      <w:pPr>
        <w:spacing w:after="160" w:line="276"/>
      </w:pPr>
      <w:r>
        <w:rPr>
          <w:color w:val="1F2937"/>
          <w:sz w:val="22"/>
          <w:szCs w:val="22"/>
        </w:rPr>
        <w:t xml:space="preserve">Uit de praktijk zijn een paar teamvormen te onderscheiden die verschillende architectuurgevolgen hebben.</w:t>
      </w:r>
    </w:p>
    <w:p>
      <w:pPr>
        <w:spacing w:after="160" w:line="276"/>
      </w:pPr>
      <w:r>
        <w:rPr>
          <w:b/>
          <w:bCs/>
          <w:color w:val="1F2937"/>
          <w:sz w:val="22"/>
          <w:szCs w:val="22"/>
        </w:rPr>
        <w:t xml:space="preserve">Het stroomteam. </w:t>
      </w:r>
      <w:r>
        <w:rPr>
          <w:color w:val="1F2937"/>
          <w:sz w:val="22"/>
          <w:szCs w:val="22"/>
        </w:rPr>
        <w:t xml:space="preserve">Een team dat zelfstandig waarde levert langs één as — bij Meridiaan: één of twee mutatiesoorten, van invoer tot doorgifte. Dit is de vorm die het beste past bij een domeinindeling, en de vorm waarop u standaard uitkomt.</w:t>
      </w:r>
    </w:p>
    <w:p>
      <w:pPr>
        <w:spacing w:after="160" w:line="276"/>
      </w:pPr>
      <w:r>
        <w:rPr>
          <w:b/>
          <w:bCs/>
          <w:color w:val="1F2937"/>
          <w:sz w:val="22"/>
          <w:szCs w:val="22"/>
        </w:rPr>
        <w:t xml:space="preserve">Het platformteam. </w:t>
      </w:r>
      <w:r>
        <w:rPr>
          <w:color w:val="1F2937"/>
          <w:sz w:val="22"/>
          <w:szCs w:val="22"/>
        </w:rPr>
        <w:t xml:space="preserve">Een team dat voorzieningen levert waar andere teams op bouwen: de uitrolstraat, de waarneembaarheidsopzet, de gedeelde infrastructuur. Zinvol zodra meerdere teams hetzelfde nodig hebben, en gevaarlijk zodra het een doorgeefloket wordt waar iedereen op wacht.</w:t>
      </w:r>
    </w:p>
    <w:p>
      <w:pPr>
        <w:spacing w:after="160" w:line="276"/>
      </w:pPr>
      <w:r>
        <w:rPr>
          <w:b/>
          <w:bCs/>
          <w:color w:val="1F2937"/>
          <w:sz w:val="22"/>
          <w:szCs w:val="22"/>
        </w:rPr>
        <w:t xml:space="preserve">Het faciliterende team. </w:t>
      </w:r>
      <w:r>
        <w:rPr>
          <w:color w:val="1F2937"/>
          <w:sz w:val="22"/>
          <w:szCs w:val="22"/>
        </w:rPr>
        <w:t xml:space="preserve">Tijdelijke ondersteuning om andere teams iets te leren — bijvoorbeeld het invoeren van event sourcing in het eerste domein. Kenmerk: het heft zichzelf op.</w:t>
      </w:r>
    </w:p>
    <w:p>
      <w:pPr>
        <w:spacing w:after="160" w:line="276"/>
      </w:pPr>
      <w:r>
        <w:rPr>
          <w:b/>
          <w:bCs/>
          <w:color w:val="1F2937"/>
          <w:sz w:val="22"/>
          <w:szCs w:val="22"/>
        </w:rPr>
        <w:t xml:space="preserve">Het complexe-subsysteemteam. </w:t>
      </w:r>
      <w:r>
        <w:rPr>
          <w:color w:val="1F2937"/>
          <w:sz w:val="22"/>
          <w:szCs w:val="22"/>
        </w:rPr>
        <w:t xml:space="preserve">Voor een onderdeel dat gespecialiseerde kennis vraagt die niet in elk stroomteam kan zitten. Bij Meridiaan is de reglementaire rechtenbepaling daar een kandidaat voor — maar alleen als de kennis werkelijk schaars is, want elke afsplitsing kost afstemming.</w:t>
      </w:r>
    </w:p>
    <w:p>
      <w:pPr>
        <w:spacing w:after="160" w:line="276"/>
      </w:pPr>
      <w:r>
        <w:rPr>
          <w:b/>
          <w:bCs/>
          <w:color w:val="1F2937"/>
          <w:sz w:val="22"/>
          <w:szCs w:val="22"/>
        </w:rPr>
        <w:t xml:space="preserve">De regel die eronder ligt: </w:t>
      </w:r>
      <w:r>
        <w:rPr>
          <w:color w:val="1F2937"/>
          <w:sz w:val="22"/>
          <w:szCs w:val="22"/>
        </w:rPr>
        <w:t xml:space="preserve">een stroomteam is de standaard, en elke andere vorm moet zich verantwoorden. De vraag daarbij is dezelfde als bij distributie in deel 13: welk probleem lost deze vorm op, en betaalt de baat de afstemmingskosten?</w:t>
      </w:r>
    </w:p>
    <w:p>
      <w:pPr>
        <w:pStyle w:val="Heading1"/>
        <w:pBdr>
          <w:bottom w:val="single" w:color="E5E7EB" w:sz="6" w:space="6"/>
        </w:pBdr>
        <w:spacing w:after="180" w:before="380"/>
      </w:pPr>
      <w:r>
        <w:rPr>
          <w:b/>
          <w:bCs/>
          <w:color w:val="1F3A5F"/>
          <w:sz w:val="30"/>
          <w:szCs w:val="30"/>
        </w:rPr>
        <w:t xml:space="preserve">21.4 Het gremium doorontwikkeld</w:t>
      </w:r>
    </w:p>
    <w:p>
      <w:pPr>
        <w:spacing w:after="160" w:line="276"/>
      </w:pPr>
      <w:r>
        <w:rPr>
          <w:color w:val="1F2937"/>
          <w:sz w:val="22"/>
          <w:szCs w:val="22"/>
        </w:rPr>
        <w:t xml:space="preserve">In deel 9 van niveau 1 stond het gremium: architect, senior ontwikkelaar per team, op afroep beheer en security. Dat werkte bij twee teams. Bij drie teams en een afgesplitste dienst loopt het vast op twee punten.</w:t>
      </w:r>
    </w:p>
    <w:p>
      <w:pPr>
        <w:spacing w:after="160" w:line="276"/>
      </w:pPr>
      <w:r>
        <w:rPr>
          <w:b/>
          <w:bCs/>
          <w:color w:val="1F2937"/>
          <w:sz w:val="22"/>
          <w:szCs w:val="22"/>
        </w:rPr>
        <w:t xml:space="preserve">Punt 1: het gremium wordt een flessenhals. </w:t>
      </w:r>
      <w:r>
        <w:rPr>
          <w:color w:val="1F2937"/>
          <w:sz w:val="22"/>
          <w:szCs w:val="22"/>
        </w:rPr>
        <w:t xml:space="preserve">Elke ADR wacht op de tweewekelijkse bijeenkomst. Teams beginnen te bouwen vóór de aanvaarding, en de ADR wordt een formaliteit achteraf.</w:t>
      </w:r>
    </w:p>
    <w:p>
      <w:pPr>
        <w:spacing w:after="160" w:line="276"/>
      </w:pPr>
      <w:r>
        <w:rPr>
          <w:b/>
          <w:bCs/>
          <w:color w:val="1F2937"/>
          <w:sz w:val="22"/>
          <w:szCs w:val="22"/>
        </w:rPr>
        <w:t xml:space="preserve">Oplossing: onderscheid naar reikwijdte.</w:t>
      </w:r>
      <w:r>
        <w:rPr>
          <w:color w:val="1F2937"/>
          <w:sz w:val="22"/>
          <w:szCs w:val="22"/>
        </w:rPr>
        <w:t xml:space="preserve"/>
      </w:r>
    </w:p>
    <w:tbl>
      <w:tblPr>
        <w:tblW w:type="dxa" w:w="9338"/>
        <w:tblBorders>
          <w:top w:val="single" w:color="E5E7EB" w:sz="4"/>
          <w:left w:val="single" w:color="E5E7EB" w:sz="4"/>
          <w:bottom w:val="single" w:color="E5E7EB" w:sz="4"/>
          <w:right w:val="single" w:color="E5E7EB" w:sz="4"/>
          <w:insideH w:val="single" w:color="E5E7EB" w:sz="4"/>
          <w:insideV w:val="single" w:color="E5E7EB" w:sz="4"/>
        </w:tblBorders>
        <w:tblLayout w:type="fixed"/>
      </w:tblPr>
      <w:tblGrid>
        <w:gridCol w:w="3200"/>
        <w:gridCol w:w="3200"/>
        <w:gridCol w:w="2938"/>
      </w:tblGrid>
      <w:tr>
        <w:trPr>
          <w:tblHeader/>
        </w:trPr>
        <w:tc>
          <w:tcPr>
            <w:tcW w:type="dxa" w:w="3200"/>
            <w:shd w:fill="1F3A5F" w:val="clear"/>
            <w:tcMar>
              <w:top w:type="dxa" w:w="100"/>
              <w:left w:type="dxa" w:w="120"/>
              <w:bottom w:type="dxa" w:w="100"/>
              <w:right w:type="dxa" w:w="120"/>
            </w:tcMar>
            <w:vAlign w:val="center"/>
          </w:tcPr>
          <w:p>
            <w:r>
              <w:rPr>
                <w:b/>
                <w:bCs/>
                <w:color w:val="FFFFFF"/>
                <w:sz w:val="19"/>
                <w:szCs w:val="19"/>
              </w:rPr>
              <w:t xml:space="preserve">Reikwijdte</w:t>
            </w:r>
          </w:p>
        </w:tc>
        <w:tc>
          <w:tcPr>
            <w:tcW w:type="dxa" w:w="3200"/>
            <w:shd w:fill="1F3A5F" w:val="clear"/>
            <w:tcMar>
              <w:top w:type="dxa" w:w="100"/>
              <w:left w:type="dxa" w:w="120"/>
              <w:bottom w:type="dxa" w:w="100"/>
              <w:right w:type="dxa" w:w="120"/>
            </w:tcMar>
            <w:vAlign w:val="center"/>
          </w:tcPr>
          <w:p>
            <w:r>
              <w:rPr>
                <w:b/>
                <w:bCs/>
                <w:color w:val="FFFFFF"/>
                <w:sz w:val="19"/>
                <w:szCs w:val="19"/>
              </w:rPr>
              <w:t xml:space="preserve">Wie beslist</w:t>
            </w:r>
          </w:p>
        </w:tc>
        <w:tc>
          <w:tcPr>
            <w:tcW w:type="dxa" w:w="2938"/>
            <w:shd w:fill="1F3A5F" w:val="clear"/>
            <w:tcMar>
              <w:top w:type="dxa" w:w="100"/>
              <w:left w:type="dxa" w:w="120"/>
              <w:bottom w:type="dxa" w:w="100"/>
              <w:right w:type="dxa" w:w="120"/>
            </w:tcMar>
            <w:vAlign w:val="center"/>
          </w:tcPr>
          <w:p>
            <w:r>
              <w:rPr>
                <w:b/>
                <w:bCs/>
                <w:color w:val="FFFFFF"/>
                <w:sz w:val="19"/>
                <w:szCs w:val="19"/>
              </w:rPr>
              <w:t xml:space="preserve">Vastlegging</w:t>
            </w:r>
          </w:p>
        </w:tc>
      </w:tr>
      <w:tr>
        <w:trPr>
          <w:cantSplit/>
        </w:trPr>
        <w:tc>
          <w:tcPr>
            <w:tcW w:type="dxa" w:w="3200"/>
            <w:tcMar>
              <w:top w:type="dxa" w:w="100"/>
              <w:left w:type="dxa" w:w="120"/>
              <w:bottom w:type="dxa" w:w="100"/>
              <w:right w:type="dxa" w:w="120"/>
            </w:tcMar>
            <w:vAlign w:val="center"/>
          </w:tcPr>
          <w:p>
            <w:r>
              <w:rPr>
                <w:b w:val="false"/>
                <w:bCs w:val="false"/>
                <w:color w:val="1F2937"/>
                <w:sz w:val="19"/>
                <w:szCs w:val="19"/>
              </w:rPr>
              <w:t xml:space="preserve">Binnen één module</w:t>
            </w:r>
          </w:p>
        </w:tc>
        <w:tc>
          <w:tcPr>
            <w:tcW w:type="dxa" w:w="3200"/>
            <w:tcMar>
              <w:top w:type="dxa" w:w="100"/>
              <w:left w:type="dxa" w:w="120"/>
              <w:bottom w:type="dxa" w:w="100"/>
              <w:right w:type="dxa" w:w="120"/>
            </w:tcMar>
            <w:vAlign w:val="center"/>
          </w:tcPr>
          <w:p>
            <w:r>
              <w:rPr>
                <w:b w:val="false"/>
                <w:bCs w:val="false"/>
                <w:color w:val="1F2937"/>
                <w:sz w:val="19"/>
                <w:szCs w:val="19"/>
              </w:rPr>
              <w:t xml:space="preserve">Het team</w:t>
            </w:r>
          </w:p>
        </w:tc>
        <w:tc>
          <w:tcPr>
            <w:tcW w:type="dxa" w:w="2938"/>
            <w:tcMar>
              <w:top w:type="dxa" w:w="100"/>
              <w:left w:type="dxa" w:w="120"/>
              <w:bottom w:type="dxa" w:w="100"/>
              <w:right w:type="dxa" w:w="120"/>
            </w:tcMar>
            <w:vAlign w:val="center"/>
          </w:tcPr>
          <w:p>
            <w:r>
              <w:rPr>
                <w:b w:val="false"/>
                <w:bCs w:val="false"/>
                <w:color w:val="1F2937"/>
                <w:sz w:val="19"/>
                <w:szCs w:val="19"/>
              </w:rPr>
              <w:t xml:space="preserve">Geen ADR nodig</w:t>
            </w:r>
          </w:p>
        </w:tc>
      </w:tr>
      <w:tr>
        <w:trPr>
          <w:cantSplit/>
        </w:trPr>
        <w:tc>
          <w:tcPr>
            <w:tcW w:type="dxa" w:w="3200"/>
            <w:tcMar>
              <w:top w:type="dxa" w:w="100"/>
              <w:left w:type="dxa" w:w="120"/>
              <w:bottom w:type="dxa" w:w="100"/>
              <w:right w:type="dxa" w:w="120"/>
            </w:tcMar>
            <w:vAlign w:val="center"/>
          </w:tcPr>
          <w:p>
            <w:r>
              <w:rPr>
                <w:b w:val="false"/>
                <w:bCs w:val="false"/>
                <w:color w:val="1F2937"/>
                <w:sz w:val="19"/>
                <w:szCs w:val="19"/>
              </w:rPr>
              <w:t xml:space="preserve">Tussen modules van één team</w:t>
            </w:r>
          </w:p>
        </w:tc>
        <w:tc>
          <w:tcPr>
            <w:tcW w:type="dxa" w:w="3200"/>
            <w:tcMar>
              <w:top w:type="dxa" w:w="100"/>
              <w:left w:type="dxa" w:w="120"/>
              <w:bottom w:type="dxa" w:w="100"/>
              <w:right w:type="dxa" w:w="120"/>
            </w:tcMar>
            <w:vAlign w:val="center"/>
          </w:tcPr>
          <w:p>
            <w:r>
              <w:rPr>
                <w:b w:val="false"/>
                <w:bCs w:val="false"/>
                <w:color w:val="1F2937"/>
                <w:sz w:val="19"/>
                <w:szCs w:val="19"/>
              </w:rPr>
              <w:t xml:space="preserve">Het team, met kennisgeving</w:t>
            </w:r>
          </w:p>
        </w:tc>
        <w:tc>
          <w:tcPr>
            <w:tcW w:type="dxa" w:w="2938"/>
            <w:tcMar>
              <w:top w:type="dxa" w:w="100"/>
              <w:left w:type="dxa" w:w="120"/>
              <w:bottom w:type="dxa" w:w="100"/>
              <w:right w:type="dxa" w:w="120"/>
            </w:tcMar>
            <w:vAlign w:val="center"/>
          </w:tcPr>
          <w:p>
            <w:r>
              <w:rPr>
                <w:b w:val="false"/>
                <w:bCs w:val="false"/>
                <w:color w:val="1F2937"/>
                <w:sz w:val="19"/>
                <w:szCs w:val="19"/>
              </w:rPr>
              <w:t xml:space="preserve">Korte ADR</w:t>
            </w:r>
          </w:p>
        </w:tc>
      </w:tr>
      <w:tr>
        <w:trPr>
          <w:cantSplit/>
        </w:trPr>
        <w:tc>
          <w:tcPr>
            <w:tcW w:type="dxa" w:w="3200"/>
            <w:tcMar>
              <w:top w:type="dxa" w:w="100"/>
              <w:left w:type="dxa" w:w="120"/>
              <w:bottom w:type="dxa" w:w="100"/>
              <w:right w:type="dxa" w:w="120"/>
            </w:tcMar>
            <w:vAlign w:val="center"/>
          </w:tcPr>
          <w:p>
            <w:r>
              <w:rPr>
                <w:b w:val="false"/>
                <w:bCs w:val="false"/>
                <w:color w:val="1F2937"/>
                <w:sz w:val="19"/>
                <w:szCs w:val="19"/>
              </w:rPr>
              <w:t xml:space="preserve">Over teamgrenzen heen</w:t>
            </w:r>
          </w:p>
        </w:tc>
        <w:tc>
          <w:tcPr>
            <w:tcW w:type="dxa" w:w="3200"/>
            <w:tcMar>
              <w:top w:type="dxa" w:w="100"/>
              <w:left w:type="dxa" w:w="120"/>
              <w:bottom w:type="dxa" w:w="100"/>
              <w:right w:type="dxa" w:w="120"/>
            </w:tcMar>
            <w:vAlign w:val="center"/>
          </w:tcPr>
          <w:p>
            <w:r>
              <w:rPr>
                <w:b w:val="false"/>
                <w:bCs w:val="false"/>
                <w:color w:val="1F2937"/>
                <w:sz w:val="19"/>
                <w:szCs w:val="19"/>
              </w:rPr>
              <w:t xml:space="preserve">Het gremium</w:t>
            </w:r>
          </w:p>
        </w:tc>
        <w:tc>
          <w:tcPr>
            <w:tcW w:type="dxa" w:w="2938"/>
            <w:tcMar>
              <w:top w:type="dxa" w:w="100"/>
              <w:left w:type="dxa" w:w="120"/>
              <w:bottom w:type="dxa" w:w="100"/>
              <w:right w:type="dxa" w:w="120"/>
            </w:tcMar>
            <w:vAlign w:val="center"/>
          </w:tcPr>
          <w:p>
            <w:r>
              <w:rPr>
                <w:b w:val="false"/>
                <w:bCs w:val="false"/>
                <w:color w:val="1F2937"/>
                <w:sz w:val="19"/>
                <w:szCs w:val="19"/>
              </w:rPr>
              <w:t xml:space="preserve">Volledige ADR</w:t>
            </w:r>
          </w:p>
        </w:tc>
      </w:tr>
      <w:tr>
        <w:trPr>
          <w:cantSplit/>
        </w:trPr>
        <w:tc>
          <w:tcPr>
            <w:tcW w:type="dxa" w:w="3200"/>
            <w:tcMar>
              <w:top w:type="dxa" w:w="100"/>
              <w:left w:type="dxa" w:w="120"/>
              <w:bottom w:type="dxa" w:w="100"/>
              <w:right w:type="dxa" w:w="120"/>
            </w:tcMar>
            <w:vAlign w:val="center"/>
          </w:tcPr>
          <w:p>
            <w:r>
              <w:rPr>
                <w:b w:val="false"/>
                <w:bCs w:val="false"/>
                <w:color w:val="1F2937"/>
                <w:sz w:val="19"/>
                <w:szCs w:val="19"/>
              </w:rPr>
              <w:t xml:space="preserve">Buiten het systeem (koppelvlakken, gegevens)</w:t>
            </w:r>
          </w:p>
        </w:tc>
        <w:tc>
          <w:tcPr>
            <w:tcW w:type="dxa" w:w="3200"/>
            <w:tcMar>
              <w:top w:type="dxa" w:w="100"/>
              <w:left w:type="dxa" w:w="120"/>
              <w:bottom w:type="dxa" w:w="100"/>
              <w:right w:type="dxa" w:w="120"/>
            </w:tcMar>
            <w:vAlign w:val="center"/>
          </w:tcPr>
          <w:p>
            <w:r>
              <w:rPr>
                <w:b w:val="false"/>
                <w:bCs w:val="false"/>
                <w:color w:val="1F2937"/>
                <w:sz w:val="19"/>
                <w:szCs w:val="19"/>
              </w:rPr>
              <w:t xml:space="preserve">Gremium + betrokken partijen</w:t>
            </w:r>
          </w:p>
        </w:tc>
        <w:tc>
          <w:tcPr>
            <w:tcW w:type="dxa" w:w="2938"/>
            <w:tcMar>
              <w:top w:type="dxa" w:w="100"/>
              <w:left w:type="dxa" w:w="120"/>
              <w:bottom w:type="dxa" w:w="100"/>
              <w:right w:type="dxa" w:w="120"/>
            </w:tcMar>
            <w:vAlign w:val="center"/>
          </w:tcPr>
          <w:p>
            <w:r>
              <w:rPr>
                <w:b w:val="false"/>
                <w:bCs w:val="false"/>
                <w:color w:val="1F2937"/>
                <w:sz w:val="19"/>
                <w:szCs w:val="19"/>
              </w:rPr>
              <w:t xml:space="preserve">ADR plus afstemming</w:t>
            </w:r>
          </w:p>
        </w:tc>
      </w:tr>
    </w:tbl>
    <w:p>
      <w:pPr>
        <w:spacing w:after="300"/>
      </w:pPr>
    </w:p>
    <w:p>
      <w:pPr>
        <w:spacing w:after="160" w:line="276"/>
      </w:pPr>
      <w:r>
        <w:rPr>
          <w:b/>
          <w:bCs/>
          <w:color w:val="1F2937"/>
          <w:sz w:val="22"/>
          <w:szCs w:val="22"/>
        </w:rPr>
        <w:t xml:space="preserve">Dat is dezelfde redenering als het significantiecriterium uit deel 1, </w:t>
      </w:r>
      <w:r>
        <w:rPr>
          <w:color w:val="1F2937"/>
          <w:sz w:val="22"/>
          <w:szCs w:val="22"/>
        </w:rPr>
        <w:t xml:space="preserve">nu toegepast op wie beslist in plaats van op wat wordt vastgelegd.</w:t>
      </w:r>
    </w:p>
    <w:p>
      <w:pPr>
        <w:spacing w:after="160" w:line="276"/>
      </w:pPr>
      <w:r>
        <w:rPr>
          <w:b/>
          <w:bCs/>
          <w:color w:val="1F2937"/>
          <w:sz w:val="22"/>
          <w:szCs w:val="22"/>
        </w:rPr>
        <w:t xml:space="preserve">Punt 2: er is geen escalatieweg. </w:t>
      </w:r>
      <w:r>
        <w:rPr>
          <w:color w:val="1F2937"/>
          <w:sz w:val="22"/>
          <w:szCs w:val="22"/>
        </w:rPr>
        <w:t xml:space="preserve">Wanneer het gremium er niet uit komt, blijft het punt liggen. Dat is de situatie uit deel 20, en zij vraagt een vastgelegde route:</w:t>
      </w:r>
    </w:p>
    <w:p>
      <w:pPr>
        <w:pStyle w:val="ListParagraph"/>
        <w:numPr>
          <w:ilvl w:val="0"/>
          <w:numId w:val="4"/>
        </w:numPr>
        <w:spacing w:after="120"/>
      </w:pPr>
      <w:r>
        <w:rPr>
          <w:b/>
          <w:bCs/>
          <w:color w:val="1F2937"/>
          <w:sz w:val="22"/>
          <w:szCs w:val="22"/>
        </w:rPr>
        <w:t xml:space="preserve">Het gremium probeert het</w:t>
      </w:r>
      <w:r>
        <w:rPr>
          <w:color w:val="1F2937"/>
          <w:sz w:val="22"/>
          <w:szCs w:val="22"/>
        </w:rPr>
        <w:t xml:space="preserve">, maximaal twee bijeenkomsten.</w:t>
      </w:r>
    </w:p>
    <w:p>
      <w:pPr>
        <w:pStyle w:val="ListParagraph"/>
        <w:numPr>
          <w:ilvl w:val="0"/>
          <w:numId w:val="4"/>
        </w:numPr>
        <w:spacing w:after="120"/>
      </w:pPr>
      <w:r>
        <w:rPr>
          <w:b/>
          <w:bCs/>
          <w:color w:val="1F2937"/>
          <w:sz w:val="22"/>
          <w:szCs w:val="22"/>
        </w:rPr>
        <w:t xml:space="preserve">Lukt dat niet, dan beslist de architect</w:t>
      </w:r>
      <w:r>
        <w:rPr>
          <w:color w:val="1F2937"/>
          <w:sz w:val="22"/>
          <w:szCs w:val="22"/>
        </w:rPr>
        <w:t xml:space="preserve"> — en legt de afweging vast, inclusief het minderheidsstandpunt.</w:t>
      </w:r>
    </w:p>
    <w:p>
      <w:pPr>
        <w:pStyle w:val="ListParagraph"/>
        <w:numPr>
          <w:ilvl w:val="0"/>
          <w:numId w:val="4"/>
        </w:numPr>
        <w:spacing w:after="120"/>
      </w:pPr>
      <w:r>
        <w:rPr>
          <w:b/>
          <w:bCs/>
          <w:color w:val="1F2937"/>
          <w:sz w:val="22"/>
          <w:szCs w:val="22"/>
        </w:rPr>
        <w:t xml:space="preserve">Is het punt zwaarder dan het mandaat van de architect</w:t>
      </w:r>
      <w:r>
        <w:rPr>
          <w:color w:val="1F2937"/>
          <w:sz w:val="22"/>
          <w:szCs w:val="22"/>
        </w:rPr>
        <w:t xml:space="preserve">, dan gaat het naar de programmadirecteur, met beide standpunten en een aanbeveling.</w:t>
      </w:r>
    </w:p>
    <w:p>
      <w:pPr>
        <w:spacing w:after="160" w:line="276"/>
      </w:pPr>
      <w:r>
        <w:rPr>
          <w:b/>
          <w:bCs/>
          <w:color w:val="1F2937"/>
          <w:sz w:val="22"/>
          <w:szCs w:val="22"/>
        </w:rPr>
        <w:t xml:space="preserve">Element 2 is het element dat organisaties overslaan, </w:t>
      </w:r>
      <w:r>
        <w:rPr>
          <w:color w:val="1F2937"/>
          <w:sz w:val="22"/>
          <w:szCs w:val="22"/>
        </w:rPr>
        <w:t xml:space="preserve">en het is het belangrijkste. Een gremium zonder knoop-doorhakker vergadert oneindig. Dat de architect beslist bij staken van stemmen, moet vooraf zijn afgesproken — anders wordt elke beslissing van de architect achteraf een machtsvraag.</w:t>
      </w:r>
    </w:p>
    <w:p>
      <w:pPr>
        <w:spacing w:after="160" w:line="276"/>
      </w:pPr>
      <w:r>
        <w:rPr>
          <w:b/>
          <w:bCs/>
          <w:color w:val="1F2937"/>
          <w:sz w:val="22"/>
          <w:szCs w:val="22"/>
        </w:rPr>
        <w:t xml:space="preserve">Het minderheidsstandpunt vastleggen </w:t>
      </w:r>
      <w:r>
        <w:rPr>
          <w:color w:val="1F2937"/>
          <w:sz w:val="22"/>
          <w:szCs w:val="22"/>
        </w:rPr>
        <w:t xml:space="preserve">is geen formaliteit. Het maakt zichtbaar dat er een afweging is geweest, het beschermt degene die het oneens was, en het is over twee jaar de informatie waarmee de herzieningsgrens kan worden getoetst.</w:t>
      </w:r>
    </w:p>
    <w:p>
      <w:pPr>
        <w:pStyle w:val="Heading1"/>
        <w:pBdr>
          <w:bottom w:val="single" w:color="E5E7EB" w:sz="6" w:space="6"/>
        </w:pBdr>
        <w:spacing w:after="180" w:before="380"/>
      </w:pPr>
      <w:r>
        <w:rPr>
          <w:b/>
          <w:bCs/>
          <w:color w:val="1F3A5F"/>
          <w:sz w:val="30"/>
          <w:szCs w:val="30"/>
        </w:rPr>
        <w:t xml:space="preserve">21.5 Uw positie in het modulelandschap</w:t>
      </w:r>
    </w:p>
    <w:p>
      <w:pPr>
        <w:spacing w:after="160" w:line="276"/>
      </w:pPr>
      <w:r>
        <w:rPr>
          <w:color w:val="1F2937"/>
          <w:sz w:val="22"/>
          <w:szCs w:val="22"/>
        </w:rPr>
        <w:t xml:space="preserve">Niveau 2 heeft elf delen behandeld, verdeeld over de drie competentiegebieden. </w:t>
      </w:r>
      <w:r>
        <w:rPr>
          <w:b/>
          <w:bCs/>
          <w:color w:val="1F2937"/>
          <w:sz w:val="22"/>
          <w:szCs w:val="22"/>
        </w:rPr>
        <w:t xml:space="preserve">Deze cursus levert geen credit points</w:t>
      </w:r>
      <w:r>
        <w:rPr>
          <w:color w:val="1F2937"/>
          <w:sz w:val="22"/>
          <w:szCs w:val="22"/>
        </w:rPr>
        <w:t xml:space="preserve">; wat zij levert is inzicht in waar u staat en waar u geaccrediteerde training zou inkopen.</w:t>
      </w:r>
    </w:p>
    <w:p>
      <w:pPr>
        <w:spacing w:after="160" w:line="276"/>
      </w:pPr>
      <w:r>
        <w:rPr>
          <w:b/>
          <w:bCs/>
          <w:color w:val="1F2937"/>
          <w:sz w:val="22"/>
          <w:szCs w:val="22"/>
        </w:rPr>
        <w:t xml:space="preserve">De ordening van de delen naar competentiegebied:</w:t>
      </w:r>
      <w:r>
        <w:rPr>
          <w:color w:val="1F2937"/>
          <w:sz w:val="22"/>
          <w:szCs w:val="22"/>
        </w:rPr>
        <w:t xml:space="preserve"/>
      </w:r>
    </w:p>
    <w:tbl>
      <w:tblPr>
        <w:tblW w:type="dxa" w:w="9138"/>
        <w:tblBorders>
          <w:top w:val="single" w:color="E5E7EB" w:sz="4"/>
          <w:left w:val="single" w:color="E5E7EB" w:sz="4"/>
          <w:bottom w:val="single" w:color="E5E7EB" w:sz="4"/>
          <w:right w:val="single" w:color="E5E7EB" w:sz="4"/>
          <w:insideH w:val="single" w:color="E5E7EB" w:sz="4"/>
          <w:insideV w:val="single" w:color="E5E7EB" w:sz="4"/>
        </w:tblBorders>
        <w:tblLayout w:type="fixed"/>
      </w:tblPr>
      <w:tblGrid>
        <w:gridCol w:w="2200"/>
        <w:gridCol w:w="6938"/>
      </w:tblGrid>
      <w:tr>
        <w:trPr>
          <w:tblHeader/>
        </w:trPr>
        <w:tc>
          <w:tcPr>
            <w:tcW w:type="dxa" w:w="2200"/>
            <w:shd w:fill="1F3A5F" w:val="clear"/>
            <w:tcMar>
              <w:top w:type="dxa" w:w="100"/>
              <w:left w:type="dxa" w:w="120"/>
              <w:bottom w:type="dxa" w:w="100"/>
              <w:right w:type="dxa" w:w="120"/>
            </w:tcMar>
            <w:vAlign w:val="center"/>
          </w:tcPr>
          <w:p>
            <w:r>
              <w:rPr>
                <w:b/>
                <w:bCs/>
                <w:color w:val="FFFFFF"/>
                <w:sz w:val="19"/>
                <w:szCs w:val="19"/>
              </w:rPr>
              <w:t xml:space="preserve">Gebied</w:t>
            </w:r>
          </w:p>
        </w:tc>
        <w:tc>
          <w:tcPr>
            <w:tcW w:type="dxa" w:w="6938"/>
            <w:shd w:fill="1F3A5F" w:val="clear"/>
            <w:tcMar>
              <w:top w:type="dxa" w:w="100"/>
              <w:left w:type="dxa" w:w="120"/>
              <w:bottom w:type="dxa" w:w="100"/>
              <w:right w:type="dxa" w:w="120"/>
            </w:tcMar>
            <w:vAlign w:val="center"/>
          </w:tcPr>
          <w:p>
            <w:r>
              <w:rPr>
                <w:b/>
                <w:bCs/>
                <w:color w:val="FFFFFF"/>
                <w:sz w:val="19"/>
                <w:szCs w:val="19"/>
              </w:rPr>
              <w:t xml:space="preserve">Delen in deze cursus</w:t>
            </w:r>
          </w:p>
        </w:tc>
      </w:tr>
      <w:tr>
        <w:trPr>
          <w:cantSplit/>
        </w:trPr>
        <w:tc>
          <w:tcPr>
            <w:tcW w:type="dxa" w:w="2200"/>
            <w:tcMar>
              <w:top w:type="dxa" w:w="100"/>
              <w:left w:type="dxa" w:w="120"/>
              <w:bottom w:type="dxa" w:w="100"/>
              <w:right w:type="dxa" w:w="120"/>
            </w:tcMar>
            <w:vAlign w:val="center"/>
          </w:tcPr>
          <w:p>
            <w:r>
              <w:rPr>
                <w:b w:val="false"/>
                <w:bCs w:val="false"/>
                <w:color w:val="1F2937"/>
                <w:sz w:val="19"/>
                <w:szCs w:val="19"/>
              </w:rPr>
              <w:t xml:space="preserve">Methodisch</w:t>
            </w:r>
          </w:p>
        </w:tc>
        <w:tc>
          <w:tcPr>
            <w:tcW w:type="dxa" w:w="6938"/>
            <w:tcMar>
              <w:top w:type="dxa" w:w="100"/>
              <w:left w:type="dxa" w:w="120"/>
              <w:bottom w:type="dxa" w:w="100"/>
              <w:right w:type="dxa" w:w="120"/>
            </w:tcMar>
            <w:vAlign w:val="center"/>
          </w:tcPr>
          <w:p>
            <w:r>
              <w:rPr>
                <w:b w:val="false"/>
                <w:bCs w:val="false"/>
                <w:color w:val="1F2937"/>
                <w:sz w:val="19"/>
                <w:szCs w:val="19"/>
              </w:rPr>
              <w:t xml:space="preserve">11 (strategisch DDD), 12 (tactisch DDD, deels), 17 (evolutionaire architectuur), 18 (evaluatie gevorderd), 21 (deels)</w:t>
            </w:r>
          </w:p>
        </w:tc>
      </w:tr>
      <w:tr>
        <w:trPr>
          <w:cantSplit/>
        </w:trPr>
        <w:tc>
          <w:tcPr>
            <w:tcW w:type="dxa" w:w="2200"/>
            <w:tcMar>
              <w:top w:type="dxa" w:w="100"/>
              <w:left w:type="dxa" w:w="120"/>
              <w:bottom w:type="dxa" w:w="100"/>
              <w:right w:type="dxa" w:w="120"/>
            </w:tcMar>
            <w:vAlign w:val="center"/>
          </w:tcPr>
          <w:p>
            <w:r>
              <w:rPr>
                <w:b w:val="false"/>
                <w:bCs w:val="false"/>
                <w:color w:val="1F2937"/>
                <w:sz w:val="19"/>
                <w:szCs w:val="19"/>
              </w:rPr>
              <w:t xml:space="preserve">Technologisch</w:t>
            </w:r>
          </w:p>
        </w:tc>
        <w:tc>
          <w:tcPr>
            <w:tcW w:type="dxa" w:w="6938"/>
            <w:tcMar>
              <w:top w:type="dxa" w:w="100"/>
              <w:left w:type="dxa" w:w="120"/>
              <w:bottom w:type="dxa" w:w="100"/>
              <w:right w:type="dxa" w:w="120"/>
            </w:tcMar>
            <w:vAlign w:val="center"/>
          </w:tcPr>
          <w:p>
            <w:r>
              <w:rPr>
                <w:b w:val="false"/>
                <w:bCs w:val="false"/>
                <w:color w:val="1F2937"/>
                <w:sz w:val="19"/>
                <w:szCs w:val="19"/>
              </w:rPr>
              <w:t xml:space="preserve">12 (deels), 13 (microservices), 14 (event sourcing en CQRS), 15 (cloud en uitrol), 16 (security)</w:t>
            </w:r>
          </w:p>
        </w:tc>
      </w:tr>
      <w:tr>
        <w:trPr>
          <w:cantSplit/>
        </w:trPr>
        <w:tc>
          <w:tcPr>
            <w:tcW w:type="dxa" w:w="2200"/>
            <w:tcMar>
              <w:top w:type="dxa" w:w="100"/>
              <w:left w:type="dxa" w:w="120"/>
              <w:bottom w:type="dxa" w:w="100"/>
              <w:right w:type="dxa" w:w="120"/>
            </w:tcMar>
            <w:vAlign w:val="center"/>
          </w:tcPr>
          <w:p>
            <w:r>
              <w:rPr>
                <w:b w:val="false"/>
                <w:bCs w:val="false"/>
                <w:color w:val="1F2937"/>
                <w:sz w:val="19"/>
                <w:szCs w:val="19"/>
              </w:rPr>
              <w:t xml:space="preserve">Communicatief</w:t>
            </w:r>
          </w:p>
        </w:tc>
        <w:tc>
          <w:tcPr>
            <w:tcW w:type="dxa" w:w="6938"/>
            <w:tcMar>
              <w:top w:type="dxa" w:w="100"/>
              <w:left w:type="dxa" w:w="120"/>
              <w:bottom w:type="dxa" w:w="100"/>
              <w:right w:type="dxa" w:w="120"/>
            </w:tcMar>
            <w:vAlign w:val="center"/>
          </w:tcPr>
          <w:p>
            <w:r>
              <w:rPr>
                <w:b w:val="false"/>
                <w:bCs w:val="false"/>
                <w:color w:val="1F2937"/>
                <w:sz w:val="19"/>
                <w:szCs w:val="19"/>
              </w:rPr>
              <w:t xml:space="preserve">19 (documentatie en stakeholders), 20 (modereren en argumenteren), 21 (deels)</w:t>
            </w:r>
          </w:p>
        </w:tc>
      </w:tr>
    </w:tbl>
    <w:p>
      <w:pPr>
        <w:spacing w:after="300"/>
      </w:pPr>
    </w:p>
    <w:p>
      <w:pPr>
        <w:spacing w:after="160" w:line="276"/>
      </w:pPr>
      <w:r>
        <w:rPr>
          <w:b/>
          <w:bCs/>
          <w:color w:val="1F2937"/>
          <w:sz w:val="22"/>
          <w:szCs w:val="22"/>
        </w:rPr>
        <w:t xml:space="preserve">Wat u hiermee doet. </w:t>
      </w:r>
      <w:r>
        <w:rPr>
          <w:color w:val="1F2937"/>
          <w:sz w:val="22"/>
          <w:szCs w:val="22"/>
        </w:rPr>
        <w:t xml:space="preserve">Het Advanced-traject vraagt punten in alle drie de gebieden, met een minimum per gebied. Uw inkoopplan volgt uit twee vragen:</w:t>
      </w:r>
    </w:p>
    <w:p>
      <w:pPr>
        <w:pStyle w:val="ListParagraph"/>
        <w:numPr>
          <w:ilvl w:val="0"/>
          <w:numId w:val="5"/>
        </w:numPr>
        <w:spacing w:after="120"/>
      </w:pPr>
      <w:r>
        <w:rPr>
          <w:b/>
          <w:bCs/>
          <w:color w:val="1F2937"/>
          <w:sz w:val="22"/>
          <w:szCs w:val="22"/>
        </w:rPr>
        <w:t xml:space="preserve">Waar bent u het zwakst?</w:t>
      </w:r>
      <w:r>
        <w:rPr>
          <w:color w:val="1F2937"/>
          <w:sz w:val="22"/>
          <w:szCs w:val="22"/>
        </w:rPr>
        <w:t xml:space="preserve"> Niet waar u het minst van weet, maar waar uw praktijk het minst oefening biedt. Voor de meeste architecten is dat het communicatieve gebied — zie de uitkomst van opdracht 19.7e.</w:t>
      </w:r>
    </w:p>
    <w:p>
      <w:pPr>
        <w:pStyle w:val="ListParagraph"/>
        <w:numPr>
          <w:ilvl w:val="0"/>
          <w:numId w:val="5"/>
        </w:numPr>
        <w:spacing w:after="120"/>
      </w:pPr>
      <w:r>
        <w:rPr>
          <w:b/>
          <w:bCs/>
          <w:color w:val="1F2937"/>
          <w:sz w:val="22"/>
          <w:szCs w:val="22"/>
        </w:rPr>
        <w:t xml:space="preserve">Wat kunt u in uw werk niet leren?</w:t>
      </w:r>
      <w:r>
        <w:rPr>
          <w:color w:val="1F2937"/>
          <w:sz w:val="22"/>
          <w:szCs w:val="22"/>
        </w:rPr>
        <w:t xml:space="preserve"> Modules die stof behandelen die in uw organisatie niet voorkomt, zijn het meest waard om in te kopen; wat u dagelijks doet, leert u toch wel.</w:t>
      </w:r>
    </w:p>
    <w:p>
      <w:pPr>
        <w:spacing w:after="160" w:line="276"/>
      </w:pPr>
      <w:r>
        <w:rPr>
          <w:b/>
          <w:bCs/>
          <w:color w:val="1F2937"/>
          <w:sz w:val="22"/>
          <w:szCs w:val="22"/>
        </w:rPr>
        <w:t xml:space="preserve">De valkuil </w:t>
      </w:r>
      <w:r>
        <w:rPr>
          <w:color w:val="1F2937"/>
          <w:sz w:val="22"/>
          <w:szCs w:val="22"/>
        </w:rPr>
        <w:t xml:space="preserve">is inkopen op interesse. Architecten kopen technologische modules omdat die het leukst zijn, en komen bij het certificeringstraject tekort in het communicatieve gebied — dat toevallig ook het gebied is waarop het afsluitende interview vooral toetst.</w:t>
      </w:r>
    </w:p>
    <w:p>
      <w:pPr>
        <w:spacing w:after="160" w:line="276"/>
      </w:pPr>
      <w:r>
        <w:rPr>
          <w:b/>
          <w:bCs/>
          <w:color w:val="1F2937"/>
          <w:sz w:val="22"/>
          <w:szCs w:val="22"/>
        </w:rPr>
        <w:t xml:space="preserve">Controleer de actuele voorwaarden. </w:t>
      </w:r>
      <w:r>
        <w:rPr>
          <w:color w:val="1F2937"/>
          <w:sz w:val="22"/>
          <w:szCs w:val="22"/>
        </w:rPr>
        <w:t xml:space="preserve">Het modulelandschap, de puntenverdeling, de minima per gebied en de eisen aan de certificeringsopdracht wijzigen. Raadpleeg isaqb.org voordat u iets inkoopt.</w:t>
      </w:r>
    </w:p>
    <w:p>
      <w:pPr>
        <w:pStyle w:val="Heading1"/>
        <w:pBdr>
          <w:bottom w:val="single" w:color="E5E7EB" w:sz="6" w:space="6"/>
        </w:pBdr>
        <w:spacing w:after="180" w:before="380"/>
      </w:pPr>
      <w:r>
        <w:rPr>
          <w:b/>
          <w:bCs/>
          <w:color w:val="1F3A5F"/>
          <w:sz w:val="30"/>
          <w:szCs w:val="30"/>
        </w:rPr>
        <w:t xml:space="preserve">21.6 Uw portfolio</w:t>
      </w:r>
    </w:p>
    <w:p>
      <w:pPr>
        <w:spacing w:after="160" w:line="276"/>
      </w:pPr>
      <w:r>
        <w:rPr>
          <w:color w:val="1F2937"/>
          <w:sz w:val="22"/>
          <w:szCs w:val="22"/>
        </w:rPr>
        <w:t xml:space="preserve">Het certificeringstraject vraagt een eigen opdracht en een interview daarover. Niveau 3 begeleidt dat traject; hier bepaalt u of u er materiaal voor hebt.</w:t>
      </w:r>
    </w:p>
    <w:p>
      <w:pPr>
        <w:spacing w:after="160" w:line="276"/>
      </w:pPr>
      <w:r>
        <w:rPr>
          <w:b/>
          <w:bCs/>
          <w:color w:val="1F2937"/>
          <w:sz w:val="22"/>
          <w:szCs w:val="22"/>
        </w:rPr>
        <w:t xml:space="preserve">Wat een geschikte opdracht kenmerkt:</w:t>
      </w:r>
      <w:r>
        <w:rPr>
          <w:color w:val="1F2937"/>
          <w:sz w:val="22"/>
          <w:szCs w:val="22"/>
        </w:rPr>
        <w:t xml:space="preserve"/>
      </w:r>
    </w:p>
    <w:p>
      <w:pPr>
        <w:pStyle w:val="ListParagraph"/>
        <w:numPr>
          <w:ilvl w:val="0"/>
          <w:numId w:val="6"/>
        </w:numPr>
        <w:spacing w:after="100"/>
      </w:pPr>
      <w:r>
        <w:rPr>
          <w:b/>
          <w:bCs/>
          <w:color w:val="1F2937"/>
          <w:sz w:val="22"/>
          <w:szCs w:val="22"/>
        </w:rPr>
        <w:t xml:space="preserve">U hebt de architectuurbeslissingen zelf genomen</w:t>
      </w:r>
      <w:r>
        <w:rPr>
          <w:color w:val="1F2937"/>
          <w:sz w:val="22"/>
          <w:szCs w:val="22"/>
        </w:rPr>
        <w:t xml:space="preserve">, of aantoonbaar mede bepaald.</w:t>
      </w:r>
    </w:p>
    <w:p>
      <w:pPr>
        <w:pStyle w:val="ListParagraph"/>
        <w:numPr>
          <w:ilvl w:val="0"/>
          <w:numId w:val="6"/>
        </w:numPr>
        <w:spacing w:after="100"/>
      </w:pPr>
      <w:r>
        <w:rPr>
          <w:b/>
          <w:bCs/>
          <w:color w:val="1F2937"/>
          <w:sz w:val="22"/>
          <w:szCs w:val="22"/>
        </w:rPr>
        <w:t xml:space="preserve">Er zijn afwegingen geweest met echte alternatieven</w:t>
      </w:r>
      <w:r>
        <w:rPr>
          <w:color w:val="1F2937"/>
          <w:sz w:val="22"/>
          <w:szCs w:val="22"/>
        </w:rPr>
        <w:t xml:space="preserve"> — niet een systeem waarin alles vanzelfsprekend was.</w:t>
      </w:r>
    </w:p>
    <w:p>
      <w:pPr>
        <w:pStyle w:val="ListParagraph"/>
        <w:numPr>
          <w:ilvl w:val="0"/>
          <w:numId w:val="6"/>
        </w:numPr>
        <w:spacing w:after="100"/>
      </w:pPr>
      <w:r>
        <w:rPr>
          <w:b/>
          <w:bCs/>
          <w:color w:val="1F2937"/>
          <w:sz w:val="22"/>
          <w:szCs w:val="22"/>
        </w:rPr>
        <w:t xml:space="preserve">Er is iets misgegaan</w:t>
      </w:r>
      <w:r>
        <w:rPr>
          <w:color w:val="1F2937"/>
          <w:sz w:val="22"/>
          <w:szCs w:val="22"/>
        </w:rPr>
        <w:t xml:space="preserve">, of er was ten minste een reëel risico. Een project waarin alles vlekkeloos verliep, biedt weinig om over te praten.</w:t>
      </w:r>
    </w:p>
    <w:p>
      <w:pPr>
        <w:pStyle w:val="ListParagraph"/>
        <w:numPr>
          <w:ilvl w:val="0"/>
          <w:numId w:val="6"/>
        </w:numPr>
        <w:spacing w:after="100"/>
      </w:pPr>
      <w:r>
        <w:rPr>
          <w:b/>
          <w:bCs/>
          <w:color w:val="1F2937"/>
          <w:sz w:val="22"/>
          <w:szCs w:val="22"/>
        </w:rPr>
        <w:t xml:space="preserve">U kunt erover spreken</w:t>
      </w:r>
      <w:r>
        <w:rPr>
          <w:color w:val="1F2937"/>
          <w:sz w:val="22"/>
          <w:szCs w:val="22"/>
        </w:rPr>
        <w:t xml:space="preserve"> — geen vertrouwelijkheid die het onmogelijk maakt de kern te bespreken.</w:t>
      </w:r>
    </w:p>
    <w:p>
      <w:pPr>
        <w:spacing w:after="160" w:line="276"/>
      </w:pPr>
      <w:r>
        <w:rPr>
          <w:b/>
          <w:bCs/>
          <w:color w:val="1F2937"/>
          <w:sz w:val="22"/>
          <w:szCs w:val="22"/>
        </w:rPr>
        <w:t xml:space="preserve">Wat u nu al kunt doen, </w:t>
      </w:r>
      <w:r>
        <w:rPr>
          <w:color w:val="1F2937"/>
          <w:sz w:val="22"/>
          <w:szCs w:val="22"/>
        </w:rPr>
        <w:t xml:space="preserve">ongeacht wanneer u aan het traject begint:</w:t>
      </w:r>
    </w:p>
    <w:p>
      <w:pPr>
        <w:pStyle w:val="ListParagraph"/>
        <w:numPr>
          <w:ilvl w:val="0"/>
          <w:numId w:val="7"/>
        </w:numPr>
        <w:spacing w:after="120"/>
      </w:pPr>
      <w:r>
        <w:rPr>
          <w:b/>
          <w:bCs/>
          <w:color w:val="1F2937"/>
          <w:sz w:val="22"/>
          <w:szCs w:val="22"/>
        </w:rPr>
        <w:t xml:space="preserve">Leg beslissingen vast terwijl u ze neemt.</w:t>
      </w:r>
      <w:r>
        <w:rPr>
          <w:color w:val="1F2937"/>
          <w:sz w:val="22"/>
          <w:szCs w:val="22"/>
        </w:rPr>
        <w:t xml:space="preserve"> Achteraf reconstrueren levert een verhaal op, geen afweging — en het verschil is in een interview hoorbaar.</w:t>
      </w:r>
    </w:p>
    <w:p>
      <w:pPr>
        <w:pStyle w:val="ListParagraph"/>
        <w:numPr>
          <w:ilvl w:val="0"/>
          <w:numId w:val="7"/>
        </w:numPr>
        <w:spacing w:after="120"/>
      </w:pPr>
      <w:r>
        <w:rPr>
          <w:b/>
          <w:bCs/>
          <w:color w:val="1F2937"/>
          <w:sz w:val="22"/>
          <w:szCs w:val="22"/>
        </w:rPr>
        <w:t xml:space="preserve">Bewaar wat er misging en waarom.</w:t>
      </w:r>
      <w:r>
        <w:rPr>
          <w:color w:val="1F2937"/>
          <w:sz w:val="22"/>
          <w:szCs w:val="22"/>
        </w:rPr>
        <w:t xml:space="preserve"> Dat is uw sterkste materiaal, en het is precies wat mensen weggooien.</w:t>
      </w:r>
    </w:p>
    <w:p>
      <w:pPr>
        <w:pStyle w:val="ListParagraph"/>
        <w:numPr>
          <w:ilvl w:val="0"/>
          <w:numId w:val="7"/>
        </w:numPr>
        <w:spacing w:after="120"/>
      </w:pPr>
      <w:r>
        <w:rPr>
          <w:b/>
          <w:bCs/>
          <w:color w:val="1F2937"/>
          <w:sz w:val="22"/>
          <w:szCs w:val="22"/>
        </w:rPr>
        <w:t xml:space="preserve">Noteer wat u zou terugdraaien.</w:t>
      </w:r>
      <w:r>
        <w:rPr>
          <w:color w:val="1F2937"/>
          <w:sz w:val="22"/>
          <w:szCs w:val="22"/>
        </w:rPr>
        <w:t xml:space="preserve"> De vraag “wat zou u nu anders doen” komt gegarandeerd, en een antwoord dat ter plekke wordt bedacht, klinkt zo.</w:t>
      </w:r>
    </w:p>
    <w:p>
      <w:pPr>
        <w:spacing w:after="160" w:line="276"/>
      </w:pPr>
      <w:r>
        <w:rPr>
          <w:b/>
          <w:bCs/>
          <w:color w:val="1F2937"/>
          <w:sz w:val="22"/>
          <w:szCs w:val="22"/>
        </w:rPr>
        <w:t xml:space="preserve">Als u geen geschikte opdracht hebt, </w:t>
      </w:r>
      <w:r>
        <w:rPr>
          <w:color w:val="1F2937"/>
          <w:sz w:val="22"/>
          <w:szCs w:val="22"/>
        </w:rPr>
        <w:t xml:space="preserve">is dat een reëel probleem en het is oplosbaar: kies een lopend traject en begin vandaag met vastleggen. Dat kost weinig en het is de enige manier om over een jaar materiaal te hebben.</w:t>
      </w:r>
    </w:p>
    <w:p>
      <w:pPr>
        <w:pStyle w:val="Heading1"/>
        <w:pBdr>
          <w:bottom w:val="single" w:color="E5E7EB" w:sz="6" w:space="6"/>
        </w:pBdr>
        <w:spacing w:after="180" w:before="380"/>
      </w:pPr>
      <w:r>
        <w:rPr>
          <w:b/>
          <w:bCs/>
          <w:color w:val="1F3A5F"/>
          <w:sz w:val="30"/>
          <w:szCs w:val="30"/>
        </w:rPr>
        <w:t xml:space="preserve">21.7 De boog van niveau 2</w:t>
      </w:r>
    </w:p>
    <w:p>
      <w:pPr>
        <w:spacing w:after="160" w:line="276"/>
      </w:pPr>
      <w:r>
        <w:rPr>
          <w:color w:val="1F2937"/>
          <w:sz w:val="22"/>
          <w:szCs w:val="22"/>
        </w:rPr>
        <w:t xml:space="preserve">Niveau 1 eindigde met een verdedigd ontwerp. Niveau 2 begon waar het bouwen begon, en elk deel opende met een concreet probleem uit een sprint:</w:t>
      </w:r>
    </w:p>
    <w:tbl>
      <w:tblPr>
        <w:tblW w:type="dxa" w:w="9138"/>
        <w:tblBorders>
          <w:top w:val="single" w:color="E5E7EB" w:sz="4"/>
          <w:left w:val="single" w:color="E5E7EB" w:sz="4"/>
          <w:bottom w:val="single" w:color="E5E7EB" w:sz="4"/>
          <w:right w:val="single" w:color="E5E7EB" w:sz="4"/>
          <w:insideH w:val="single" w:color="E5E7EB" w:sz="4"/>
          <w:insideV w:val="single" w:color="E5E7EB" w:sz="4"/>
        </w:tblBorders>
        <w:tblLayout w:type="fixed"/>
      </w:tblPr>
      <w:tblGrid>
        <w:gridCol w:w="900"/>
        <w:gridCol w:w="4100"/>
        <w:gridCol w:w="4138"/>
      </w:tblGrid>
      <w:tr>
        <w:trPr>
          <w:tblHeader/>
        </w:trPr>
        <w:tc>
          <w:tcPr>
            <w:tcW w:type="dxa" w:w="900"/>
            <w:shd w:fill="1F3A5F" w:val="clear"/>
            <w:tcMar>
              <w:top w:type="dxa" w:w="100"/>
              <w:left w:type="dxa" w:w="120"/>
              <w:bottom w:type="dxa" w:w="100"/>
              <w:right w:type="dxa" w:w="120"/>
            </w:tcMar>
            <w:vAlign w:val="center"/>
          </w:tcPr>
          <w:p>
            <w:r>
              <w:rPr>
                <w:b/>
                <w:bCs/>
                <w:color w:val="FFFFFF"/>
                <w:sz w:val="19"/>
                <w:szCs w:val="19"/>
              </w:rPr>
              <w:t xml:space="preserve">Deel</w:t>
            </w:r>
          </w:p>
        </w:tc>
        <w:tc>
          <w:tcPr>
            <w:tcW w:type="dxa" w:w="4100"/>
            <w:shd w:fill="1F3A5F" w:val="clear"/>
            <w:tcMar>
              <w:top w:type="dxa" w:w="100"/>
              <w:left w:type="dxa" w:w="120"/>
              <w:bottom w:type="dxa" w:w="100"/>
              <w:right w:type="dxa" w:w="120"/>
            </w:tcMar>
            <w:vAlign w:val="center"/>
          </w:tcPr>
          <w:p>
            <w:r>
              <w:rPr>
                <w:b/>
                <w:bCs/>
                <w:color w:val="FFFFFF"/>
                <w:sz w:val="19"/>
                <w:szCs w:val="19"/>
              </w:rPr>
              <w:t xml:space="preserve">Het probleem</w:t>
            </w:r>
          </w:p>
        </w:tc>
        <w:tc>
          <w:tcPr>
            <w:tcW w:type="dxa" w:w="4138"/>
            <w:shd w:fill="1F3A5F" w:val="clear"/>
            <w:tcMar>
              <w:top w:type="dxa" w:w="100"/>
              <w:left w:type="dxa" w:w="120"/>
              <w:bottom w:type="dxa" w:w="100"/>
              <w:right w:type="dxa" w:w="120"/>
            </w:tcMar>
            <w:vAlign w:val="center"/>
          </w:tcPr>
          <w:p>
            <w:r>
              <w:rPr>
                <w:b/>
                <w:bCs/>
                <w:color w:val="FFFFFF"/>
                <w:sz w:val="19"/>
                <w:szCs w:val="19"/>
              </w:rPr>
              <w:t xml:space="preserve">Wat het opleverde</w:t>
            </w:r>
          </w:p>
        </w:tc>
      </w:tr>
      <w:tr>
        <w:trPr>
          <w:cantSplit/>
        </w:trPr>
        <w:tc>
          <w:tcPr>
            <w:tcW w:type="dxa" w:w="900"/>
            <w:tcMar>
              <w:top w:type="dxa" w:w="100"/>
              <w:left w:type="dxa" w:w="120"/>
              <w:bottom w:type="dxa" w:w="100"/>
              <w:right w:type="dxa" w:w="120"/>
            </w:tcMar>
            <w:vAlign w:val="center"/>
          </w:tcPr>
          <w:p>
            <w:r>
              <w:rPr>
                <w:b w:val="false"/>
                <w:bCs w:val="false"/>
                <w:color w:val="1F2937"/>
                <w:sz w:val="19"/>
                <w:szCs w:val="19"/>
              </w:rPr>
              <w:t xml:space="preserve">11</w:t>
            </w:r>
          </w:p>
        </w:tc>
        <w:tc>
          <w:tcPr>
            <w:tcW w:type="dxa" w:w="4100"/>
            <w:tcMar>
              <w:top w:type="dxa" w:w="100"/>
              <w:left w:type="dxa" w:w="120"/>
              <w:bottom w:type="dxa" w:w="100"/>
              <w:right w:type="dxa" w:w="120"/>
            </w:tcMar>
            <w:vAlign w:val="center"/>
          </w:tcPr>
          <w:p>
            <w:r>
              <w:rPr>
                <w:b w:val="false"/>
                <w:bCs w:val="false"/>
                <w:color w:val="1F2937"/>
                <w:sz w:val="19"/>
                <w:szCs w:val="19"/>
              </w:rPr>
              <w:t xml:space="preserve">Eén partnerbegrip voor vier contexten</w:t>
            </w:r>
          </w:p>
        </w:tc>
        <w:tc>
          <w:tcPr>
            <w:tcW w:type="dxa" w:w="4138"/>
            <w:tcMar>
              <w:top w:type="dxa" w:w="100"/>
              <w:left w:type="dxa" w:w="120"/>
              <w:bottom w:type="dxa" w:w="100"/>
              <w:right w:type="dxa" w:w="120"/>
            </w:tcMar>
            <w:vAlign w:val="center"/>
          </w:tcPr>
          <w:p>
            <w:r>
              <w:rPr>
                <w:b w:val="false"/>
                <w:bCs w:val="false"/>
                <w:color w:val="1F2937"/>
                <w:sz w:val="19"/>
                <w:szCs w:val="19"/>
              </w:rPr>
              <w:t xml:space="preserve">Bounded contexts en context mapping</w:t>
            </w:r>
          </w:p>
        </w:tc>
      </w:tr>
      <w:tr>
        <w:trPr>
          <w:cantSplit/>
        </w:trPr>
        <w:tc>
          <w:tcPr>
            <w:tcW w:type="dxa" w:w="900"/>
            <w:tcMar>
              <w:top w:type="dxa" w:w="100"/>
              <w:left w:type="dxa" w:w="120"/>
              <w:bottom w:type="dxa" w:w="100"/>
              <w:right w:type="dxa" w:w="120"/>
            </w:tcMar>
            <w:vAlign w:val="center"/>
          </w:tcPr>
          <w:p>
            <w:r>
              <w:rPr>
                <w:b w:val="false"/>
                <w:bCs w:val="false"/>
                <w:color w:val="1F2937"/>
                <w:sz w:val="19"/>
                <w:szCs w:val="19"/>
              </w:rPr>
              <w:t xml:space="preserve">12</w:t>
            </w:r>
          </w:p>
        </w:tc>
        <w:tc>
          <w:tcPr>
            <w:tcW w:type="dxa" w:w="4100"/>
            <w:tcMar>
              <w:top w:type="dxa" w:w="100"/>
              <w:left w:type="dxa" w:w="120"/>
              <w:bottom w:type="dxa" w:w="100"/>
              <w:right w:type="dxa" w:w="120"/>
            </w:tcMar>
            <w:vAlign w:val="center"/>
          </w:tcPr>
          <w:p>
            <w:r>
              <w:rPr>
                <w:b w:val="false"/>
                <w:bCs w:val="false"/>
                <w:color w:val="1F2937"/>
                <w:sz w:val="19"/>
                <w:szCs w:val="19"/>
              </w:rPr>
              <w:t xml:space="preserve">“Waar begint en eindigt een transactie?”</w:t>
            </w:r>
          </w:p>
        </w:tc>
        <w:tc>
          <w:tcPr>
            <w:tcW w:type="dxa" w:w="4138"/>
            <w:tcMar>
              <w:top w:type="dxa" w:w="100"/>
              <w:left w:type="dxa" w:w="120"/>
              <w:bottom w:type="dxa" w:w="100"/>
              <w:right w:type="dxa" w:w="120"/>
            </w:tcMar>
            <w:vAlign w:val="center"/>
          </w:tcPr>
          <w:p>
            <w:r>
              <w:rPr>
                <w:b w:val="false"/>
                <w:bCs w:val="false"/>
                <w:color w:val="1F2937"/>
                <w:sz w:val="19"/>
                <w:szCs w:val="19"/>
              </w:rPr>
              <w:t xml:space="preserve">Aggregaten als consistentiegrens</w:t>
            </w:r>
          </w:p>
        </w:tc>
      </w:tr>
      <w:tr>
        <w:trPr>
          <w:cantSplit/>
        </w:trPr>
        <w:tc>
          <w:tcPr>
            <w:tcW w:type="dxa" w:w="900"/>
            <w:tcMar>
              <w:top w:type="dxa" w:w="100"/>
              <w:left w:type="dxa" w:w="120"/>
              <w:bottom w:type="dxa" w:w="100"/>
              <w:right w:type="dxa" w:w="120"/>
            </w:tcMar>
            <w:vAlign w:val="center"/>
          </w:tcPr>
          <w:p>
            <w:r>
              <w:rPr>
                <w:b w:val="false"/>
                <w:bCs w:val="false"/>
                <w:color w:val="1F2937"/>
                <w:sz w:val="19"/>
                <w:szCs w:val="19"/>
              </w:rPr>
              <w:t xml:space="preserve">13</w:t>
            </w:r>
          </w:p>
        </w:tc>
        <w:tc>
          <w:tcPr>
            <w:tcW w:type="dxa" w:w="4100"/>
            <w:tcMar>
              <w:top w:type="dxa" w:w="100"/>
              <w:left w:type="dxa" w:w="120"/>
              <w:bottom w:type="dxa" w:w="100"/>
              <w:right w:type="dxa" w:w="120"/>
            </w:tcMar>
            <w:vAlign w:val="center"/>
          </w:tcPr>
          <w:p>
            <w:r>
              <w:rPr>
                <w:b w:val="false"/>
                <w:bCs w:val="false"/>
                <w:color w:val="1F2937"/>
                <w:sz w:val="19"/>
                <w:szCs w:val="19"/>
              </w:rPr>
              <w:t xml:space="preserve">De overname: moeten we splitsen?</w:t>
            </w:r>
          </w:p>
        </w:tc>
        <w:tc>
          <w:tcPr>
            <w:tcW w:type="dxa" w:w="4138"/>
            <w:tcMar>
              <w:top w:type="dxa" w:w="100"/>
              <w:left w:type="dxa" w:w="120"/>
              <w:bottom w:type="dxa" w:w="100"/>
              <w:right w:type="dxa" w:w="120"/>
            </w:tcMar>
            <w:vAlign w:val="center"/>
          </w:tcPr>
          <w:p>
            <w:r>
              <w:rPr>
                <w:b w:val="false"/>
                <w:bCs w:val="false"/>
                <w:color w:val="1F2937"/>
                <w:sz w:val="19"/>
                <w:szCs w:val="19"/>
              </w:rPr>
              <w:t xml:space="preserve">De drijverstoets opnieuw; één splitsing</w:t>
            </w:r>
          </w:p>
        </w:tc>
      </w:tr>
      <w:tr>
        <w:trPr>
          <w:cantSplit/>
        </w:trPr>
        <w:tc>
          <w:tcPr>
            <w:tcW w:type="dxa" w:w="900"/>
            <w:tcMar>
              <w:top w:type="dxa" w:w="100"/>
              <w:left w:type="dxa" w:w="120"/>
              <w:bottom w:type="dxa" w:w="100"/>
              <w:right w:type="dxa" w:w="120"/>
            </w:tcMar>
            <w:vAlign w:val="center"/>
          </w:tcPr>
          <w:p>
            <w:r>
              <w:rPr>
                <w:b w:val="false"/>
                <w:bCs w:val="false"/>
                <w:color w:val="1F2937"/>
                <w:sz w:val="19"/>
                <w:szCs w:val="19"/>
              </w:rPr>
              <w:t xml:space="preserve">14</w:t>
            </w:r>
          </w:p>
        </w:tc>
        <w:tc>
          <w:tcPr>
            <w:tcW w:type="dxa" w:w="4100"/>
            <w:tcMar>
              <w:top w:type="dxa" w:w="100"/>
              <w:left w:type="dxa" w:w="120"/>
              <w:bottom w:type="dxa" w:w="100"/>
              <w:right w:type="dxa" w:w="120"/>
            </w:tcMar>
            <w:vAlign w:val="center"/>
          </w:tcPr>
          <w:p>
            <w:r>
              <w:rPr>
                <w:b w:val="false"/>
                <w:bCs w:val="false"/>
                <w:color w:val="1F2937"/>
                <w:sz w:val="19"/>
                <w:szCs w:val="19"/>
              </w:rPr>
              <w:t xml:space="preserve">De reconstructieproef mislukte op 70%</w:t>
            </w:r>
          </w:p>
        </w:tc>
        <w:tc>
          <w:tcPr>
            <w:tcW w:type="dxa" w:w="4138"/>
            <w:tcMar>
              <w:top w:type="dxa" w:w="100"/>
              <w:left w:type="dxa" w:w="120"/>
              <w:bottom w:type="dxa" w:w="100"/>
              <w:right w:type="dxa" w:w="120"/>
            </w:tcMar>
            <w:vAlign w:val="center"/>
          </w:tcPr>
          <w:p>
            <w:r>
              <w:rPr>
                <w:b w:val="false"/>
                <w:bCs w:val="false"/>
                <w:color w:val="1F2937"/>
                <w:sz w:val="19"/>
                <w:szCs w:val="19"/>
              </w:rPr>
              <w:t xml:space="preserve">Event sourcing en twee tijdlijnen</w:t>
            </w:r>
          </w:p>
        </w:tc>
      </w:tr>
      <w:tr>
        <w:trPr>
          <w:cantSplit/>
        </w:trPr>
        <w:tc>
          <w:tcPr>
            <w:tcW w:type="dxa" w:w="900"/>
            <w:tcMar>
              <w:top w:type="dxa" w:w="100"/>
              <w:left w:type="dxa" w:w="120"/>
              <w:bottom w:type="dxa" w:w="100"/>
              <w:right w:type="dxa" w:w="120"/>
            </w:tcMar>
            <w:vAlign w:val="center"/>
          </w:tcPr>
          <w:p>
            <w:r>
              <w:rPr>
                <w:b w:val="false"/>
                <w:bCs w:val="false"/>
                <w:color w:val="1F2937"/>
                <w:sz w:val="19"/>
                <w:szCs w:val="19"/>
              </w:rPr>
              <w:t xml:space="preserve">15</w:t>
            </w:r>
          </w:p>
        </w:tc>
        <w:tc>
          <w:tcPr>
            <w:tcW w:type="dxa" w:w="4100"/>
            <w:tcMar>
              <w:top w:type="dxa" w:w="100"/>
              <w:left w:type="dxa" w:w="120"/>
              <w:bottom w:type="dxa" w:w="100"/>
              <w:right w:type="dxa" w:w="120"/>
            </w:tcMar>
            <w:vAlign w:val="center"/>
          </w:tcPr>
          <w:p>
            <w:r>
              <w:rPr>
                <w:b w:val="false"/>
                <w:bCs w:val="false"/>
                <w:color w:val="1F2937"/>
                <w:sz w:val="19"/>
                <w:szCs w:val="19"/>
              </w:rPr>
              <w:t xml:space="preserve">De afgesplitste dienst moet ergens draaien</w:t>
            </w:r>
          </w:p>
        </w:tc>
        <w:tc>
          <w:tcPr>
            <w:tcW w:type="dxa" w:w="4138"/>
            <w:tcMar>
              <w:top w:type="dxa" w:w="100"/>
              <w:left w:type="dxa" w:w="120"/>
              <w:bottom w:type="dxa" w:w="100"/>
              <w:right w:type="dxa" w:w="120"/>
            </w:tcMar>
            <w:vAlign w:val="center"/>
          </w:tcPr>
          <w:p>
            <w:r>
              <w:rPr>
                <w:b w:val="false"/>
                <w:bCs w:val="false"/>
                <w:color w:val="1F2937"/>
                <w:sz w:val="19"/>
                <w:szCs w:val="19"/>
              </w:rPr>
              <w:t xml:space="preserve">Uitrolstraat, waarneembaarheid, foutbudget</w:t>
            </w:r>
          </w:p>
        </w:tc>
      </w:tr>
      <w:tr>
        <w:trPr>
          <w:cantSplit/>
        </w:trPr>
        <w:tc>
          <w:tcPr>
            <w:tcW w:type="dxa" w:w="900"/>
            <w:tcMar>
              <w:top w:type="dxa" w:w="100"/>
              <w:left w:type="dxa" w:w="120"/>
              <w:bottom w:type="dxa" w:w="100"/>
              <w:right w:type="dxa" w:w="120"/>
            </w:tcMar>
            <w:vAlign w:val="center"/>
          </w:tcPr>
          <w:p>
            <w:r>
              <w:rPr>
                <w:b w:val="false"/>
                <w:bCs w:val="false"/>
                <w:color w:val="1F2937"/>
                <w:sz w:val="19"/>
                <w:szCs w:val="19"/>
              </w:rPr>
              <w:t xml:space="preserve">16</w:t>
            </w:r>
          </w:p>
        </w:tc>
        <w:tc>
          <w:tcPr>
            <w:tcW w:type="dxa" w:w="4100"/>
            <w:tcMar>
              <w:top w:type="dxa" w:w="100"/>
              <w:left w:type="dxa" w:w="120"/>
              <w:bottom w:type="dxa" w:w="100"/>
              <w:right w:type="dxa" w:w="120"/>
            </w:tcMar>
            <w:vAlign w:val="center"/>
          </w:tcPr>
          <w:p>
            <w:r>
              <w:rPr>
                <w:b w:val="false"/>
                <w:bCs w:val="false"/>
                <w:color w:val="1F2937"/>
                <w:sz w:val="19"/>
                <w:szCs w:val="19"/>
              </w:rPr>
              <w:t xml:space="preserve">Drie nieuwe vertrouwensgrenzen</w:t>
            </w:r>
          </w:p>
        </w:tc>
        <w:tc>
          <w:tcPr>
            <w:tcW w:type="dxa" w:w="4138"/>
            <w:tcMar>
              <w:top w:type="dxa" w:w="100"/>
              <w:left w:type="dxa" w:w="120"/>
              <w:bottom w:type="dxa" w:w="100"/>
              <w:right w:type="dxa" w:w="120"/>
            </w:tcMar>
            <w:vAlign w:val="center"/>
          </w:tcPr>
          <w:p>
            <w:r>
              <w:rPr>
                <w:b w:val="false"/>
                <w:bCs w:val="false"/>
                <w:color w:val="1F2937"/>
                <w:sz w:val="19"/>
                <w:szCs w:val="19"/>
              </w:rPr>
              <w:t xml:space="preserve">Dreigingsmodellering en functiescheiding</w:t>
            </w:r>
          </w:p>
        </w:tc>
      </w:tr>
      <w:tr>
        <w:trPr>
          <w:cantSplit/>
        </w:trPr>
        <w:tc>
          <w:tcPr>
            <w:tcW w:type="dxa" w:w="900"/>
            <w:tcMar>
              <w:top w:type="dxa" w:w="100"/>
              <w:left w:type="dxa" w:w="120"/>
              <w:bottom w:type="dxa" w:w="100"/>
              <w:right w:type="dxa" w:w="120"/>
            </w:tcMar>
            <w:vAlign w:val="center"/>
          </w:tcPr>
          <w:p>
            <w:r>
              <w:rPr>
                <w:b w:val="false"/>
                <w:bCs w:val="false"/>
                <w:color w:val="1F2937"/>
                <w:sz w:val="19"/>
                <w:szCs w:val="19"/>
              </w:rPr>
              <w:t xml:space="preserve">17</w:t>
            </w:r>
          </w:p>
        </w:tc>
        <w:tc>
          <w:tcPr>
            <w:tcW w:type="dxa" w:w="4100"/>
            <w:tcMar>
              <w:top w:type="dxa" w:w="100"/>
              <w:left w:type="dxa" w:w="120"/>
              <w:bottom w:type="dxa" w:w="100"/>
              <w:right w:type="dxa" w:w="120"/>
            </w:tcMar>
            <w:vAlign w:val="center"/>
          </w:tcPr>
          <w:p>
            <w:r>
              <w:rPr>
                <w:b w:val="false"/>
                <w:bCs w:val="false"/>
                <w:color w:val="1F2937"/>
                <w:sz w:val="19"/>
                <w:szCs w:val="19"/>
              </w:rPr>
              <w:t xml:space="preserve">Drie regels geschonden in sprint 22</w:t>
            </w:r>
          </w:p>
        </w:tc>
        <w:tc>
          <w:tcPr>
            <w:tcW w:type="dxa" w:w="4138"/>
            <w:tcMar>
              <w:top w:type="dxa" w:w="100"/>
              <w:left w:type="dxa" w:w="120"/>
              <w:bottom w:type="dxa" w:w="100"/>
              <w:right w:type="dxa" w:w="120"/>
            </w:tcMar>
            <w:vAlign w:val="center"/>
          </w:tcPr>
          <w:p>
            <w:r>
              <w:rPr>
                <w:b w:val="false"/>
                <w:bCs w:val="false"/>
                <w:color w:val="1F2937"/>
                <w:sz w:val="19"/>
                <w:szCs w:val="19"/>
              </w:rPr>
              <w:t xml:space="preserve">Fitness functions en het invoerprobleem</w:t>
            </w:r>
          </w:p>
        </w:tc>
      </w:tr>
      <w:tr>
        <w:trPr>
          <w:cantSplit/>
        </w:trPr>
        <w:tc>
          <w:tcPr>
            <w:tcW w:type="dxa" w:w="900"/>
            <w:tcMar>
              <w:top w:type="dxa" w:w="100"/>
              <w:left w:type="dxa" w:w="120"/>
              <w:bottom w:type="dxa" w:w="100"/>
              <w:right w:type="dxa" w:w="120"/>
            </w:tcMar>
            <w:vAlign w:val="center"/>
          </w:tcPr>
          <w:p>
            <w:r>
              <w:rPr>
                <w:b w:val="false"/>
                <w:bCs w:val="false"/>
                <w:color w:val="1F2937"/>
                <w:sz w:val="19"/>
                <w:szCs w:val="19"/>
              </w:rPr>
              <w:t xml:space="preserve">18</w:t>
            </w:r>
          </w:p>
        </w:tc>
        <w:tc>
          <w:tcPr>
            <w:tcW w:type="dxa" w:w="4100"/>
            <w:tcMar>
              <w:top w:type="dxa" w:w="100"/>
              <w:left w:type="dxa" w:w="120"/>
              <w:bottom w:type="dxa" w:w="100"/>
              <w:right w:type="dxa" w:w="120"/>
            </w:tcMar>
            <w:vAlign w:val="center"/>
          </w:tcPr>
          <w:p>
            <w:r>
              <w:rPr>
                <w:b w:val="false"/>
                <w:bCs w:val="false"/>
                <w:color w:val="1F2937"/>
                <w:sz w:val="19"/>
                <w:szCs w:val="19"/>
              </w:rPr>
              <w:t xml:space="preserve">Besluitmoment en een leveranciersvoorstel</w:t>
            </w:r>
          </w:p>
        </w:tc>
        <w:tc>
          <w:tcPr>
            <w:tcW w:type="dxa" w:w="4138"/>
            <w:tcMar>
              <w:top w:type="dxa" w:w="100"/>
              <w:left w:type="dxa" w:w="120"/>
              <w:bottom w:type="dxa" w:w="100"/>
              <w:right w:type="dxa" w:w="120"/>
            </w:tcMar>
            <w:vAlign w:val="center"/>
          </w:tcPr>
          <w:p>
            <w:r>
              <w:rPr>
                <w:b w:val="false"/>
                <w:bCs w:val="false"/>
                <w:color w:val="1F2937"/>
                <w:sz w:val="19"/>
                <w:szCs w:val="19"/>
              </w:rPr>
              <w:t xml:space="preserve">Volledige ATAM en kwantitatieve analyse</w:t>
            </w:r>
          </w:p>
        </w:tc>
      </w:tr>
      <w:tr>
        <w:trPr>
          <w:cantSplit/>
        </w:trPr>
        <w:tc>
          <w:tcPr>
            <w:tcW w:type="dxa" w:w="900"/>
            <w:tcMar>
              <w:top w:type="dxa" w:w="100"/>
              <w:left w:type="dxa" w:w="120"/>
              <w:bottom w:type="dxa" w:w="100"/>
              <w:right w:type="dxa" w:w="120"/>
            </w:tcMar>
            <w:vAlign w:val="center"/>
          </w:tcPr>
          <w:p>
            <w:r>
              <w:rPr>
                <w:b w:val="false"/>
                <w:bCs w:val="false"/>
                <w:color w:val="1F2937"/>
                <w:sz w:val="19"/>
                <w:szCs w:val="19"/>
              </w:rPr>
              <w:t xml:space="preserve">19</w:t>
            </w:r>
          </w:p>
        </w:tc>
        <w:tc>
          <w:tcPr>
            <w:tcW w:type="dxa" w:w="4100"/>
            <w:tcMar>
              <w:top w:type="dxa" w:w="100"/>
              <w:left w:type="dxa" w:w="120"/>
              <w:bottom w:type="dxa" w:w="100"/>
              <w:right w:type="dxa" w:w="120"/>
            </w:tcMar>
            <w:vAlign w:val="center"/>
          </w:tcPr>
          <w:p>
            <w:r>
              <w:rPr>
                <w:b w:val="false"/>
                <w:bCs w:val="false"/>
                <w:color w:val="1F2937"/>
                <w:sz w:val="19"/>
                <w:szCs w:val="19"/>
              </w:rPr>
              <w:t xml:space="preserve">Drie mislukte overdrachten</w:t>
            </w:r>
          </w:p>
        </w:tc>
        <w:tc>
          <w:tcPr>
            <w:tcW w:type="dxa" w:w="4138"/>
            <w:tcMar>
              <w:top w:type="dxa" w:w="100"/>
              <w:left w:type="dxa" w:w="120"/>
              <w:bottom w:type="dxa" w:w="100"/>
              <w:right w:type="dxa" w:w="120"/>
            </w:tcMar>
            <w:vAlign w:val="center"/>
          </w:tcPr>
          <w:p>
            <w:r>
              <w:rPr>
                <w:b w:val="false"/>
                <w:bCs w:val="false"/>
                <w:color w:val="1F2937"/>
                <w:sz w:val="19"/>
                <w:szCs w:val="19"/>
              </w:rPr>
              <w:t xml:space="preserve">Vier publieken, de besluitnota</w:t>
            </w:r>
          </w:p>
        </w:tc>
      </w:tr>
      <w:tr>
        <w:trPr>
          <w:cantSplit/>
        </w:trPr>
        <w:tc>
          <w:tcPr>
            <w:tcW w:type="dxa" w:w="900"/>
            <w:tcMar>
              <w:top w:type="dxa" w:w="100"/>
              <w:left w:type="dxa" w:w="120"/>
              <w:bottom w:type="dxa" w:w="100"/>
              <w:right w:type="dxa" w:w="120"/>
            </w:tcMar>
            <w:vAlign w:val="center"/>
          </w:tcPr>
          <w:p>
            <w:r>
              <w:rPr>
                <w:b w:val="false"/>
                <w:bCs w:val="false"/>
                <w:color w:val="1F2937"/>
                <w:sz w:val="19"/>
                <w:szCs w:val="19"/>
              </w:rPr>
              <w:t xml:space="preserve">20</w:t>
            </w:r>
          </w:p>
        </w:tc>
        <w:tc>
          <w:tcPr>
            <w:tcW w:type="dxa" w:w="4100"/>
            <w:tcMar>
              <w:top w:type="dxa" w:w="100"/>
              <w:left w:type="dxa" w:w="120"/>
              <w:bottom w:type="dxa" w:w="100"/>
              <w:right w:type="dxa" w:w="120"/>
            </w:tcMar>
            <w:vAlign w:val="center"/>
          </w:tcPr>
          <w:p>
            <w:r>
              <w:rPr>
                <w:b w:val="false"/>
                <w:bCs w:val="false"/>
                <w:color w:val="1F2937"/>
                <w:sz w:val="19"/>
                <w:szCs w:val="19"/>
              </w:rPr>
              <w:t xml:space="preserve">Vier gesprekssituaties</w:t>
            </w:r>
          </w:p>
        </w:tc>
        <w:tc>
          <w:tcPr>
            <w:tcW w:type="dxa" w:w="4138"/>
            <w:tcMar>
              <w:top w:type="dxa" w:w="100"/>
              <w:left w:type="dxa" w:w="120"/>
              <w:bottom w:type="dxa" w:w="100"/>
              <w:right w:type="dxa" w:w="120"/>
            </w:tcMar>
            <w:vAlign w:val="center"/>
          </w:tcPr>
          <w:p>
            <w:r>
              <w:rPr>
                <w:b w:val="false"/>
                <w:bCs w:val="false"/>
                <w:color w:val="1F2937"/>
                <w:sz w:val="19"/>
                <w:szCs w:val="19"/>
              </w:rPr>
              <w:t xml:space="preserve">Modereren, argumenteren, de rolgrens</w:t>
            </w:r>
          </w:p>
        </w:tc>
      </w:tr>
      <w:tr>
        <w:trPr>
          <w:cantSplit/>
        </w:trPr>
        <w:tc>
          <w:tcPr>
            <w:tcW w:type="dxa" w:w="900"/>
            <w:tcMar>
              <w:top w:type="dxa" w:w="100"/>
              <w:left w:type="dxa" w:w="120"/>
              <w:bottom w:type="dxa" w:w="100"/>
              <w:right w:type="dxa" w:w="120"/>
            </w:tcMar>
            <w:vAlign w:val="center"/>
          </w:tcPr>
          <w:p>
            <w:r>
              <w:rPr>
                <w:b w:val="false"/>
                <w:bCs w:val="false"/>
                <w:color w:val="1F2937"/>
                <w:sz w:val="19"/>
                <w:szCs w:val="19"/>
              </w:rPr>
              <w:t xml:space="preserve">21</w:t>
            </w:r>
          </w:p>
        </w:tc>
        <w:tc>
          <w:tcPr>
            <w:tcW w:type="dxa" w:w="4100"/>
            <w:tcMar>
              <w:top w:type="dxa" w:w="100"/>
              <w:left w:type="dxa" w:w="120"/>
              <w:bottom w:type="dxa" w:w="100"/>
              <w:right w:type="dxa" w:w="120"/>
            </w:tcMar>
            <w:vAlign w:val="center"/>
          </w:tcPr>
          <w:p>
            <w:r>
              <w:rPr>
                <w:b w:val="false"/>
                <w:bCs w:val="false"/>
                <w:color w:val="1F2937"/>
                <w:sz w:val="19"/>
                <w:szCs w:val="19"/>
              </w:rPr>
              <w:t xml:space="preserve">De teams verkeerd ingedeeld</w:t>
            </w:r>
          </w:p>
        </w:tc>
        <w:tc>
          <w:tcPr>
            <w:tcW w:type="dxa" w:w="4138"/>
            <w:tcMar>
              <w:top w:type="dxa" w:w="100"/>
              <w:left w:type="dxa" w:w="120"/>
              <w:bottom w:type="dxa" w:w="100"/>
              <w:right w:type="dxa" w:w="120"/>
            </w:tcMar>
            <w:vAlign w:val="center"/>
          </w:tcPr>
          <w:p>
            <w:r>
              <w:rPr>
                <w:b w:val="false"/>
                <w:bCs w:val="false"/>
                <w:color w:val="1F2937"/>
                <w:sz w:val="19"/>
                <w:szCs w:val="19"/>
              </w:rPr>
              <w:t xml:space="preserve">Conway, het gremium, uw route</w:t>
            </w:r>
          </w:p>
        </w:tc>
      </w:tr>
    </w:tbl>
    <w:p>
      <w:pPr>
        <w:spacing w:after="300"/>
      </w:pPr>
    </w:p>
    <w:p>
      <w:pPr>
        <w:spacing w:after="160" w:line="276"/>
      </w:pPr>
      <w:r>
        <w:rPr>
          <w:b/>
          <w:bCs/>
          <w:color w:val="1F2937"/>
          <w:sz w:val="22"/>
          <w:szCs w:val="22"/>
        </w:rPr>
        <w:t xml:space="preserve">Wat er doorheen loopt. </w:t>
      </w:r>
      <w:r>
        <w:rPr>
          <w:color w:val="1F2937"/>
          <w:sz w:val="22"/>
          <w:szCs w:val="22"/>
        </w:rPr>
        <w:t xml:space="preserve">Drie patronen, en zij zijn belangrijker dan de afzonderlijke technieken:</w:t>
      </w:r>
    </w:p>
    <w:p>
      <w:pPr>
        <w:spacing w:after="160" w:line="276"/>
      </w:pPr>
      <w:r>
        <w:rPr>
          <w:b/>
          <w:bCs/>
          <w:color w:val="1F2937"/>
          <w:sz w:val="22"/>
          <w:szCs w:val="22"/>
        </w:rPr>
        <w:t xml:space="preserve">1. Elke beslissing heeft een houdbaarheidsdatum. </w:t>
      </w:r>
      <w:r>
        <w:rPr>
          <w:color w:val="1F2937"/>
          <w:sz w:val="22"/>
          <w:szCs w:val="22"/>
        </w:rPr>
        <w:t xml:space="preserve">De distributiekeuze uit niveau 1 werd in deel 13 opnieuw getoetst en veranderde. De herzieningsgrens is het instrument dat dat mogelijk maakte.</w:t>
      </w:r>
    </w:p>
    <w:p>
      <w:pPr>
        <w:spacing w:after="160" w:line="276"/>
      </w:pPr>
      <w:r>
        <w:rPr>
          <w:b/>
          <w:bCs/>
          <w:color w:val="1F2937"/>
          <w:sz w:val="22"/>
          <w:szCs w:val="22"/>
        </w:rPr>
        <w:t xml:space="preserve">2. Wat niet wordt gehandhaafd, verdwijnt. </w:t>
      </w:r>
      <w:r>
        <w:rPr>
          <w:color w:val="1F2937"/>
          <w:sz w:val="22"/>
          <w:szCs w:val="22"/>
        </w:rPr>
        <w:t xml:space="preserve">De borgingsladder uit deel 9 kwam terug bij modulegrenzen, cross-cutting concepten, security, en fitness functions. Vier keer dezelfde structuur, en telkens bleek de zwakste laag — afspraak — het eerst te sneuvelen.</w:t>
      </w:r>
    </w:p>
    <w:p>
      <w:pPr>
        <w:spacing w:after="160" w:line="276"/>
      </w:pPr>
      <w:r>
        <w:rPr>
          <w:b/>
          <w:bCs/>
          <w:color w:val="1F2937"/>
          <w:sz w:val="22"/>
          <w:szCs w:val="22"/>
        </w:rPr>
        <w:t xml:space="preserve">3. Sommige besluiten zijn niet aan de architect. </w:t>
      </w:r>
      <w:r>
        <w:rPr>
          <w:color w:val="1F2937"/>
          <w:sz w:val="22"/>
          <w:szCs w:val="22"/>
        </w:rPr>
        <w:t xml:space="preserve">Het verwijderrecht, de dienstniveaudoelen, de functiescheidingsperiode, de risicobereidheid, de teamindeling. Uw taak is ze scherp voorleggen. Wie dat onderscheid maakt, krijgt gehoor op de punten waar hij wél over gaat — en dat is de belangrijkste vaardigheid die niveau 3 verder ontwikkelt.</w:t>
      </w:r>
    </w:p>
    <w:p>
      <w:pPr>
        <w:pStyle w:val="Heading1"/>
        <w:pBdr>
          <w:bottom w:val="single" w:color="E5E7EB" w:sz="6" w:space="6"/>
        </w:pBdr>
        <w:spacing w:after="180" w:before="380"/>
      </w:pPr>
      <w:r>
        <w:rPr>
          <w:b/>
          <w:bCs/>
          <w:color w:val="1F3A5F"/>
          <w:sz w:val="30"/>
          <w:szCs w:val="30"/>
        </w:rPr>
        <w:t xml:space="preserve">Samenvatting</w:t>
      </w:r>
    </w:p>
    <w:p>
      <w:pPr>
        <w:pStyle w:val="ListParagraph"/>
        <w:numPr>
          <w:ilvl w:val="0"/>
          <w:numId w:val="6"/>
        </w:numPr>
        <w:spacing w:after="100"/>
      </w:pPr>
      <w:r>
        <w:rPr>
          <w:color w:val="1F2937"/>
          <w:sz w:val="22"/>
          <w:szCs w:val="22"/>
        </w:rPr>
        <w:t xml:space="preserve">De wet van Conway: de systeemstructuur weerspiegelt de communicatiestructuur. Binnen een team is afstemmen goedkoop, ertussen duur — en dat bepaalt welke ontwerpkeuzes overleven.</w:t>
      </w:r>
    </w:p>
    <w:p>
      <w:pPr>
        <w:pStyle w:val="ListParagraph"/>
        <w:numPr>
          <w:ilvl w:val="0"/>
          <w:numId w:val="6"/>
        </w:numPr>
        <w:spacing w:after="100"/>
      </w:pPr>
      <w:r>
        <w:rPr>
          <w:color w:val="1F2937"/>
          <w:sz w:val="22"/>
          <w:szCs w:val="22"/>
        </w:rPr>
        <w:t xml:space="preserve">Teamindeling is daarmee een architectuurvraag. De architect gaat er niet over; hij benoemt de gevolgen als toetsbare voorspelling.</w:t>
      </w:r>
    </w:p>
    <w:p>
      <w:pPr>
        <w:pStyle w:val="ListParagraph"/>
        <w:numPr>
          <w:ilvl w:val="0"/>
          <w:numId w:val="6"/>
        </w:numPr>
        <w:spacing w:after="100"/>
      </w:pPr>
      <w:r>
        <w:rPr>
          <w:color w:val="1F2937"/>
          <w:sz w:val="22"/>
          <w:szCs w:val="22"/>
        </w:rPr>
        <w:t xml:space="preserve">Het stroomteam is de standaard; elke andere teamvorm moet zich verantwoorden met dezelfde vraag als bij distributie — welk probleem lost het op, en betaalt de baat de afstemmingskosten?</w:t>
      </w:r>
    </w:p>
    <w:p>
      <w:pPr>
        <w:pStyle w:val="ListParagraph"/>
        <w:numPr>
          <w:ilvl w:val="0"/>
          <w:numId w:val="6"/>
        </w:numPr>
        <w:spacing w:after="100"/>
      </w:pPr>
      <w:r>
        <w:rPr>
          <w:color w:val="1F2937"/>
          <w:sz w:val="22"/>
          <w:szCs w:val="22"/>
        </w:rPr>
        <w:t xml:space="preserve">Het gremium schaalt door beslissingen naar reikwijdte te verdelen, en het functioneert alleen met een vastgelegde escalatieweg waarin de architect bij staken van stemmen beslist.</w:t>
      </w:r>
    </w:p>
    <w:p>
      <w:pPr>
        <w:pStyle w:val="ListParagraph"/>
        <w:numPr>
          <w:ilvl w:val="0"/>
          <w:numId w:val="6"/>
        </w:numPr>
        <w:spacing w:after="100"/>
      </w:pPr>
      <w:r>
        <w:rPr>
          <w:color w:val="1F2937"/>
          <w:sz w:val="22"/>
          <w:szCs w:val="22"/>
        </w:rPr>
        <w:t xml:space="preserve">Het minderheidsstandpunt vastleggen beschermt de afwijkende mening en levert over twee jaar de informatie om de herzieningsgrens te toetsen.</w:t>
      </w:r>
    </w:p>
    <w:p>
      <w:pPr>
        <w:pStyle w:val="ListParagraph"/>
        <w:numPr>
          <w:ilvl w:val="0"/>
          <w:numId w:val="6"/>
        </w:numPr>
        <w:spacing w:after="100"/>
      </w:pPr>
      <w:r>
        <w:rPr>
          <w:color w:val="1F2937"/>
          <w:sz w:val="22"/>
          <w:szCs w:val="22"/>
        </w:rPr>
        <w:t xml:space="preserve">Uw inkoopplan volgt uit twee vragen: waar biedt uw praktijk de minste oefening, en wat kunt u in uw werk niet leren. De valkuil is inkopen op interesse.</w:t>
      </w:r>
    </w:p>
    <w:p>
      <w:pPr>
        <w:pStyle w:val="ListParagraph"/>
        <w:numPr>
          <w:ilvl w:val="0"/>
          <w:numId w:val="6"/>
        </w:numPr>
        <w:spacing w:after="100"/>
      </w:pPr>
      <w:r>
        <w:rPr>
          <w:color w:val="1F2937"/>
          <w:sz w:val="22"/>
          <w:szCs w:val="22"/>
        </w:rPr>
        <w:t xml:space="preserve">Een geschikte certificeringsopdracht heeft echte afwegingen en iets dat misging. Leg beslissingen vast terwijl u ze neemt; achteraf reconstrueren levert een verhaal op, geen afweging.</w:t>
      </w:r>
    </w:p>
    <w:p>
      <w:pPr>
        <w:pStyle w:val="ListParagraph"/>
        <w:numPr>
          <w:ilvl w:val="0"/>
          <w:numId w:val="6"/>
        </w:numPr>
        <w:spacing w:after="100"/>
      </w:pPr>
      <w:r>
        <w:rPr>
          <w:color w:val="1F2937"/>
          <w:sz w:val="22"/>
          <w:szCs w:val="22"/>
        </w:rPr>
        <w:t xml:space="preserve">Drie patronen door heel niveau 2: elke beslissing heeft een houdbaarheidsdatum, wat niet wordt gehandhaafd verdwijnt, en sommige besluiten zijn niet aan u.</w:t>
      </w:r>
    </w:p>
    <w:p>
      <w:pPr>
        <w:pStyle w:val="Heading1"/>
        <w:pBdr>
          <w:bottom w:val="single" w:color="E5E7EB" w:sz="6" w:space="6"/>
        </w:pBdr>
        <w:spacing w:after="180" w:before="380"/>
      </w:pPr>
      <w:r>
        <w:rPr>
          <w:b/>
          <w:bCs/>
          <w:color w:val="1F3A5F"/>
          <w:sz w:val="30"/>
          <w:szCs w:val="30"/>
        </w:rPr>
        <w:t xml:space="preserve">Kernbegrippen</w:t>
      </w:r>
    </w:p>
    <w:p>
      <w:pPr>
        <w:spacing w:after="160" w:line="276"/>
      </w:pPr>
      <w:r>
        <w:rPr>
          <w:b/>
          <w:bCs/>
          <w:color w:val="1F2937"/>
          <w:sz w:val="22"/>
          <w:szCs w:val="22"/>
        </w:rPr>
        <w:t xml:space="preserve">Wet van Conway — </w:t>
      </w:r>
      <w:r>
        <w:rPr>
          <w:color w:val="1F2937"/>
          <w:sz w:val="22"/>
          <w:szCs w:val="22"/>
        </w:rPr>
        <w:t xml:space="preserve">de systeemstructuur weerspiegelt de communicatiestructuur van de bouwende organisatie.</w:t>
      </w:r>
    </w:p>
    <w:p>
      <w:pPr>
        <w:spacing w:after="160" w:line="276"/>
      </w:pPr>
      <w:r>
        <w:rPr>
          <w:b/>
          <w:bCs/>
          <w:color w:val="1F2937"/>
          <w:sz w:val="22"/>
          <w:szCs w:val="22"/>
        </w:rPr>
        <w:t xml:space="preserve">Inverse Conway — </w:t>
      </w:r>
      <w:r>
        <w:rPr>
          <w:color w:val="1F2937"/>
          <w:sz w:val="22"/>
          <w:szCs w:val="22"/>
        </w:rPr>
        <w:t xml:space="preserve">de organisatie bewust aanpassen aan de gewenste systeemstructuur.</w:t>
      </w:r>
    </w:p>
    <w:p>
      <w:pPr>
        <w:spacing w:after="160" w:line="276"/>
      </w:pPr>
      <w:r>
        <w:rPr>
          <w:b/>
          <w:bCs/>
          <w:color w:val="1F2937"/>
          <w:sz w:val="22"/>
          <w:szCs w:val="22"/>
        </w:rPr>
        <w:t xml:space="preserve">Stroomteam — </w:t>
      </w:r>
      <w:r>
        <w:rPr>
          <w:color w:val="1F2937"/>
          <w:sz w:val="22"/>
          <w:szCs w:val="22"/>
        </w:rPr>
        <w:t xml:space="preserve">team dat zelfstandig waarde levert langs één as; de standaardvorm.</w:t>
      </w:r>
    </w:p>
    <w:p>
      <w:pPr>
        <w:spacing w:after="160" w:line="276"/>
      </w:pPr>
      <w:r>
        <w:rPr>
          <w:b/>
          <w:bCs/>
          <w:color w:val="1F2937"/>
          <w:sz w:val="22"/>
          <w:szCs w:val="22"/>
        </w:rPr>
        <w:t xml:space="preserve">Platform-, faciliterend en complex-subsysteemteam — </w:t>
      </w:r>
      <w:r>
        <w:rPr>
          <w:color w:val="1F2937"/>
          <w:sz w:val="22"/>
          <w:szCs w:val="22"/>
        </w:rPr>
        <w:t xml:space="preserve">afwijkende vormen die zich moeten verantwoorden.</w:t>
      </w:r>
    </w:p>
    <w:p>
      <w:pPr>
        <w:spacing w:after="160" w:line="276"/>
      </w:pPr>
      <w:r>
        <w:rPr>
          <w:b/>
          <w:bCs/>
          <w:color w:val="1F2937"/>
          <w:sz w:val="22"/>
          <w:szCs w:val="22"/>
        </w:rPr>
        <w:t xml:space="preserve">Beslissingsreikwijdte — </w:t>
      </w:r>
      <w:r>
        <w:rPr>
          <w:color w:val="1F2937"/>
          <w:sz w:val="22"/>
          <w:szCs w:val="22"/>
        </w:rPr>
        <w:t xml:space="preserve">het criterium dat bepaalt wie een architectuurbeslissing neemt.</w:t>
      </w:r>
    </w:p>
    <w:p>
      <w:pPr>
        <w:spacing w:after="160" w:line="276"/>
      </w:pPr>
      <w:r>
        <w:rPr>
          <w:b/>
          <w:bCs/>
          <w:color w:val="1F2937"/>
          <w:sz w:val="22"/>
          <w:szCs w:val="22"/>
        </w:rPr>
        <w:t xml:space="preserve">Minderheidsstandpunt — </w:t>
      </w:r>
      <w:r>
        <w:rPr>
          <w:color w:val="1F2937"/>
          <w:sz w:val="22"/>
          <w:szCs w:val="22"/>
        </w:rPr>
        <w:t xml:space="preserve">het vastgelegde afwijkende oordeel bij een gremiumbesluit.</w:t>
      </w:r>
    </w:p>
    <w:p>
      <w:pPr>
        <w:pStyle w:val="Heading1"/>
        <w:pBdr>
          <w:bottom w:val="single" w:color="E5E7EB" w:sz="6" w:space="6"/>
        </w:pBdr>
        <w:spacing w:after="180" w:before="380"/>
      </w:pPr>
      <w:r>
        <w:rPr>
          <w:b/>
          <w:bCs/>
          <w:color w:val="1F3A5F"/>
          <w:sz w:val="30"/>
          <w:szCs w:val="30"/>
        </w:rPr>
        <w:t xml:space="preserve">Verder lezen</w:t>
      </w:r>
    </w:p>
    <w:p>
      <w:pPr>
        <w:pStyle w:val="ListParagraph"/>
        <w:numPr>
          <w:ilvl w:val="0"/>
          <w:numId w:val="6"/>
        </w:numPr>
        <w:spacing w:after="100"/>
      </w:pPr>
      <w:r>
        <w:rPr>
          <w:color w:val="1F2937"/>
          <w:sz w:val="22"/>
          <w:szCs w:val="22"/>
        </w:rPr>
        <w:t xml:space="preserve">Skelton &amp; Pais, Team Topologies — de bron van de teamvormen; kort en praktisch.</w:t>
      </w:r>
    </w:p>
    <w:p>
      <w:pPr>
        <w:pStyle w:val="ListParagraph"/>
        <w:numPr>
          <w:ilvl w:val="0"/>
          <w:numId w:val="6"/>
        </w:numPr>
        <w:spacing w:after="100"/>
      </w:pPr>
      <w:r>
        <w:rPr>
          <w:color w:val="1F2937"/>
          <w:sz w:val="22"/>
          <w:szCs w:val="22"/>
        </w:rPr>
        <w:t xml:space="preserve">Conway, How Do Committees Invent? (1968) — het oorspronkelijke artikel, vier pagina's.</w:t>
      </w:r>
    </w:p>
    <w:p>
      <w:pPr>
        <w:pStyle w:val="ListParagraph"/>
        <w:numPr>
          <w:ilvl w:val="0"/>
          <w:numId w:val="6"/>
        </w:numPr>
        <w:spacing w:after="100"/>
      </w:pPr>
      <w:r>
        <w:rPr>
          <w:color w:val="1F2937"/>
          <w:sz w:val="22"/>
          <w:szCs w:val="22"/>
        </w:rPr>
        <w:t xml:space="preserve">Forsgren, Humble &amp; Kim, Accelerate — over het verband tussen organisatie-inrichting en prestatie.</w:t>
      </w:r>
    </w:p>
    <w:p>
      <w:pPr>
        <w:pStyle w:val="ListParagraph"/>
        <w:numPr>
          <w:ilvl w:val="0"/>
          <w:numId w:val="6"/>
        </w:numPr>
        <w:spacing w:after="100"/>
      </w:pPr>
      <w:r>
        <w:rPr>
          <w:color w:val="1F2937"/>
          <w:sz w:val="22"/>
          <w:szCs w:val="22"/>
        </w:rPr>
        <w:t xml:space="preserve">iSAQB, modulelandschap en certificeringsvoorwaarden Advanced Level — op isaqb.org; controleer de actuele stand.</w:t>
      </w:r>
    </w:p>
    <w:p>
      <w:pPr>
        <w:pBdr>
          <w:top w:val="single" w:color="E5E7EB" w:sz="4" w:space="8"/>
        </w:pBdr>
        <w:spacing w:before="400"/>
        <w:jc w:val="center"/>
      </w:pPr>
      <w:r>
        <w:rPr>
          <w:i/>
          <w:iCs/>
          <w:color w:val="6B7280"/>
          <w:sz w:val="17"/>
          <w:szCs w:val="17"/>
        </w:rPr>
        <w:t xml:space="preserve">Ductus B.V. · Cursus Softwarearchitectuur · Niveau 2, deel 21 · Deelnemersreader</w:t>
      </w:r>
    </w:p>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B7280"/>
        <w:sz w:val="15"/>
        <w:szCs w:val="15"/>
      </w:rPr>
      <w:t xml:space="preserve">Ductus B.V.  ·  pagina </w:t>
    </w:r>
    <w:r>
      <w:rPr>
        <w:color w:val="6B7280"/>
        <w:sz w:val="15"/>
        <w:szCs w:val="15"/>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6B7280"/>
        <w:sz w:val="15"/>
        <w:szCs w:val="15"/>
      </w:rPr>
      <w:t xml:space="preserve">Cursus Softwarearchitectuur · Niveau 2, deel 21</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60"/>
      </w:pPr>
    </w:lvl>
  </w:abstractNum>
  <w:abstractNum w:abstractNumId="3" w15:restartNumberingAfterBreak="0">
    <w:multiLevelType w:val="hybridMultilevel"/>
    <w:lvl w:ilvl="0" w15:tentative="1">
      <w:start w:val="1"/>
      <w:numFmt w:val="decimal"/>
      <w:lvlText w:val="%1."/>
      <w:lvlJc w:val="left"/>
      <w:pPr>
        <w:ind w:left="420" w:hanging="260"/>
      </w:pPr>
    </w:lvl>
  </w:abstractNum>
  <w:abstractNum w:abstractNumId="4" w15:restartNumberingAfterBreak="0">
    <w:multiLevelType w:val="hybridMultilevel"/>
    <w:lvl w:ilvl="0" w15:tentative="1">
      <w:start w:val="1"/>
      <w:numFmt w:val="decimal"/>
      <w:lvlText w:val="%1."/>
      <w:lvlJc w:val="left"/>
      <w:pPr>
        <w:ind w:left="420" w:hanging="260"/>
      </w:pPr>
    </w:lvl>
  </w:abstractNum>
  <w:abstractNum w:abstractNumId="5" w15:restartNumberingAfterBreak="0">
    <w:multiLevelType w:val="hybridMultilevel"/>
    <w:lvl w:ilvl="0" w15:tentative="1">
      <w:start w:val="1"/>
      <w:numFmt w:val="decimal"/>
      <w:lvlText w:val="%1."/>
      <w:lvlJc w:val="left"/>
      <w:pPr>
        <w:ind w:left="420" w:hanging="260"/>
      </w:pPr>
    </w:lvl>
  </w:abstractNum>
  <w:abstractNum w:abstractNumId="6" w15:restartNumberingAfterBreak="0">
    <w:multiLevelType w:val="hybridMultilevel"/>
    <w:lvl w:ilvl="0" w15:tentative="1">
      <w:start w:val="1"/>
      <w:numFmt w:val="decimal"/>
      <w:lvlText w:val="%1."/>
      <w:lvlJc w:val="left"/>
      <w:pPr>
        <w:ind w:left="420" w:hanging="260"/>
      </w:pPr>
    </w:lvl>
  </w:abstractNum>
  <w:abstractNum w:abstractNumId="7" w15:restartNumberingAfterBreak="0">
    <w:multiLevelType w:val="hybridMultilevel"/>
    <w:lvl w:ilvl="0" w15:tentative="1">
      <w:start w:val="1"/>
      <w:numFmt w:val="decimal"/>
      <w:lvlText w:val="%1."/>
      <w:lvlJc w:val="left"/>
      <w:pPr>
        <w:ind w:left="420" w:hanging="260"/>
      </w:pPr>
    </w:lvl>
  </w:abstractNum>
  <w:num w:numId="1">
    <w:abstractNumId w:val="1"/>
    <w:lvlOverride w:ilvl="0">
      <w:startOverride w:val="1"/>
    </w:lvlOverride>
  </w:num>
  <w:num w:numId="2">
    <w:abstractNumId w:val="3"/>
    <w:lvlOverride w:ilvl="0">
      <w:startOverride w:val="1"/>
    </w:lvlOverride>
  </w:num>
  <w:num w:numId="3">
    <w:abstractNumId w:val="4"/>
    <w:lvlOverride w:ilvl="0">
      <w:startOverride w:val="1"/>
    </w:lvlOverride>
  </w:num>
  <w:num w:numId="4">
    <w:abstractNumId w:val="5"/>
    <w:lvlOverride w:ilvl="0">
      <w:startOverride w:val="1"/>
    </w:lvlOverride>
  </w:num>
  <w:num w:numId="5">
    <w:abstractNumId w:val="6"/>
    <w:lvlOverride w:ilvl="0">
      <w:startOverride w:val="1"/>
    </w:lvlOverride>
  </w:num>
  <w:num w:numId="6">
    <w:abstractNumId w:val="2"/>
    <w:lvlOverride w:ilvl="0">
      <w:startOverride w:val="1"/>
    </w:lvlOverride>
  </w:num>
  <w:num w:numId="7">
    <w:abstractNumId w:val="7"/>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2026-08-17T19:41:11.144Z</dcterms:created>
  <dcterms:modified xsi:type="dcterms:W3CDTF">2026-08-17T19:41:11.145Z</dcterms:modified>
</cp:coreProperties>
</file>

<file path=docProps/custom.xml><?xml version="1.0" encoding="utf-8"?>
<Properties xmlns="http://schemas.openxmlformats.org/officeDocument/2006/custom-properties" xmlns:vt="http://schemas.openxmlformats.org/officeDocument/2006/docPropsVTypes"/>
</file>