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4"/>
          <w:szCs w:val="44"/>
        </w:rPr>
        <w:t xml:space="preserve">Deel 22 — De certificeringsopdracht</w:t>
      </w:r>
    </w:p>
    <w:p>
      <w:pPr>
        <w:spacing w:after="200"/>
      </w:pPr>
      <w:r>
        <w:rPr>
          <w:b/>
          <w:bCs/>
          <w:color w:val="4A6789"/>
          <w:sz w:val="26"/>
          <w:szCs w:val="26"/>
        </w:rPr>
        <w:t xml:space="preserve">Docentenhandleiding</w:t>
      </w:r>
    </w:p>
    <w:p>
      <w:pPr>
        <w:spacing w:after="400"/>
      </w:pPr>
      <w:r>
        <w:rPr>
          <w:color w:val="6B7280"/>
          <w:sz w:val="20"/>
          <w:szCs w:val="20"/>
        </w:rPr>
        <w:t xml:space="preserve">Cursus Softwarearchitectuur · Niveau 3 (CPSA-A certificeringstraject) · Deel 22 van 28</w:t>
      </w:r>
    </w:p>
    <w:p>
      <w:pPr>
        <w:pStyle w:val="Heading1"/>
        <w:pBdr>
          <w:bottom w:val="single" w:color="E5E7EB" w:sz="6" w:space="6"/>
        </w:pBdr>
        <w:spacing w:after="180" w:before="380"/>
      </w:pPr>
      <w:r>
        <w:rPr>
          <w:b/>
          <w:bCs/>
          <w:color w:val="1F3A5F"/>
          <w:sz w:val="30"/>
          <w:szCs w:val="30"/>
        </w:rPr>
        <w:t xml:space="preserve">1. Positie van dit deel</w:t>
      </w:r>
    </w:p>
    <w:p>
      <w:pPr>
        <w:spacing w:after="160" w:line="276"/>
      </w:pPr>
      <w:r>
        <w:rPr>
          <w:b/>
          <w:bCs/>
          <w:color w:val="1F2937"/>
          <w:sz w:val="22"/>
          <w:szCs w:val="22"/>
        </w:rPr>
        <w:t xml:space="preserve">Dit is de opening van niveau 3 </w:t>
      </w:r>
      <w:r>
        <w:rPr>
          <w:color w:val="1F2937"/>
          <w:sz w:val="22"/>
          <w:szCs w:val="22"/>
        </w:rPr>
        <w:t xml:space="preserve">en het verschilt fundamenteel van alle voorgaande delen: de deelnemers werken vanaf nu aan hun eigen materiaal. Meridiaan is niet langer het onderwerp maar het oefenterrein.</w:t>
      </w:r>
    </w:p>
    <w:p>
      <w:pPr>
        <w:spacing w:after="160" w:line="276"/>
      </w:pPr>
      <w:r>
        <w:rPr>
          <w:b/>
          <w:bCs/>
          <w:color w:val="1F2937"/>
          <w:sz w:val="22"/>
          <w:szCs w:val="22"/>
        </w:rPr>
        <w:t xml:space="preserve">Dat heeft drie gevolgen voor uw rol:</w:t>
      </w:r>
      <w:r>
        <w:rPr>
          <w:color w:val="1F2937"/>
          <w:sz w:val="22"/>
          <w:szCs w:val="22"/>
        </w:rPr>
        <w:t xml:space="preserve"/>
      </w:r>
    </w:p>
    <w:p>
      <w:pPr>
        <w:pStyle w:val="ListParagraph"/>
        <w:numPr>
          <w:ilvl w:val="0"/>
          <w:numId w:val="2"/>
        </w:numPr>
        <w:spacing w:after="120"/>
      </w:pPr>
      <w:r>
        <w:rPr>
          <w:b/>
          <w:bCs/>
          <w:color w:val="1F2937"/>
          <w:sz w:val="22"/>
          <w:szCs w:val="22"/>
        </w:rPr>
        <w:t xml:space="preserve">U begeleidt in plaats van doceert.</w:t>
      </w:r>
      <w:r>
        <w:rPr>
          <w:color w:val="1F2937"/>
          <w:sz w:val="22"/>
          <w:szCs w:val="22"/>
        </w:rPr>
        <w:t xml:space="preserve"> De opdrachten in dit werkboek leveren geen oefenresultaat op maar werk dat de deelnemer meeneemt. Uw waarde zit in de tegenspraak bij hun keuzes, niet in de uitleg.</w:t>
      </w:r>
    </w:p>
    <w:p>
      <w:pPr>
        <w:pStyle w:val="ListParagraph"/>
        <w:numPr>
          <w:ilvl w:val="0"/>
          <w:numId w:val="2"/>
        </w:numPr>
        <w:spacing w:after="120"/>
      </w:pPr>
      <w:r>
        <w:rPr>
          <w:b/>
          <w:bCs/>
          <w:color w:val="1F2937"/>
          <w:sz w:val="22"/>
          <w:szCs w:val="22"/>
        </w:rPr>
        <w:t xml:space="preserve">De groep wordt heterogeen.</w:t>
      </w:r>
      <w:r>
        <w:rPr>
          <w:color w:val="1F2937"/>
          <w:sz w:val="22"/>
          <w:szCs w:val="22"/>
        </w:rPr>
        <w:t xml:space="preserve"> Deelnemers werken aan verschillende systemen in verschillende sectoren. Plenaire behandeling werkt minder goed; duo- en groepswerk met onderlinge toetsing werkt beter.</w:t>
      </w:r>
    </w:p>
    <w:p>
      <w:pPr>
        <w:pStyle w:val="ListParagraph"/>
        <w:numPr>
          <w:ilvl w:val="0"/>
          <w:numId w:val="2"/>
        </w:numPr>
        <w:spacing w:after="120"/>
      </w:pPr>
      <w:r>
        <w:rPr>
          <w:b/>
          <w:bCs/>
          <w:color w:val="1F2937"/>
          <w:sz w:val="22"/>
          <w:szCs w:val="22"/>
        </w:rPr>
        <w:t xml:space="preserve">De uitkomst is deels buiten uw invloed.</w:t>
      </w:r>
      <w:r>
        <w:rPr>
          <w:color w:val="1F2937"/>
          <w:sz w:val="22"/>
          <w:szCs w:val="22"/>
        </w:rPr>
        <w:t xml:space="preserve"> Iemand die geen geschikt systeem heeft, kan dat vandaag niet oplossen. Wat u wel kunt: dat vroeg vaststellen en een route bieden (beginnen met vastleggen op een lopend traject).</w:t>
      </w:r>
    </w:p>
    <w:p>
      <w:pPr>
        <w:spacing w:after="160" w:line="276"/>
      </w:pPr>
      <w:r>
        <w:rPr>
          <w:b/>
          <w:bCs/>
          <w:color w:val="1F2937"/>
          <w:sz w:val="22"/>
          <w:szCs w:val="22"/>
        </w:rPr>
        <w:t xml:space="preserve">Wees precies over uw eigen positie. </w:t>
      </w:r>
      <w:r>
        <w:rPr>
          <w:color w:val="1F2937"/>
          <w:sz w:val="22"/>
          <w:szCs w:val="22"/>
        </w:rPr>
        <w:t xml:space="preserve">Deze cursus begeleidt de voorbereiding; zij is geen geaccrediteerde training en zij vervangt de officiële procedure niet. Verwijs consequent naar isaqb.org voor voorwaarden, vorm en beoordelingscriteria — die wijzigen, en een deelnemer die op uw informatie afgaat en op vormvereisten strandt, heeft een terecht verwijt.</w:t>
      </w:r>
    </w:p>
    <w:p>
      <w:pPr>
        <w:pStyle w:val="Heading1"/>
        <w:pBdr>
          <w:bottom w:val="single" w:color="E5E7EB" w:sz="6" w:space="6"/>
        </w:pBdr>
        <w:spacing w:after="180" w:before="380"/>
      </w:pPr>
      <w:r>
        <w:rPr>
          <w:b/>
          <w:bCs/>
          <w:color w:val="1F3A5F"/>
          <w:sz w:val="30"/>
          <w:szCs w:val="30"/>
        </w:rPr>
        <w:t xml:space="preserve">2. Dagdeelplanning (4 uur, twee pauzes)</w:t>
      </w:r>
    </w:p>
    <w:tbl>
      <w:tblPr>
        <w:tblW w:type="dxa" w:w="9738"/>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1500"/>
        <w:gridCol w:w="4600"/>
        <w:gridCol w:w="2300"/>
        <w:gridCol w:w="1338"/>
      </w:tblGrid>
      <w:tr>
        <w:trPr>
          <w:tblHeader/>
        </w:trPr>
        <w:tc>
          <w:tcPr>
            <w:tcW w:type="dxa" w:w="1500"/>
            <w:shd w:fill="1F3A5F" w:val="clear"/>
            <w:tcMar>
              <w:top w:type="dxa" w:w="100"/>
              <w:left w:type="dxa" w:w="120"/>
              <w:bottom w:type="dxa" w:w="100"/>
              <w:right w:type="dxa" w:w="120"/>
            </w:tcMar>
            <w:vAlign w:val="center"/>
          </w:tcPr>
          <w:p>
            <w:r>
              <w:rPr>
                <w:b/>
                <w:bCs/>
                <w:color w:val="FFFFFF"/>
                <w:sz w:val="19"/>
                <w:szCs w:val="19"/>
              </w:rPr>
              <w:t xml:space="preserve">Tijd</w:t>
            </w:r>
          </w:p>
        </w:tc>
        <w:tc>
          <w:tcPr>
            <w:tcW w:type="dxa" w:w="4600"/>
            <w:shd w:fill="1F3A5F" w:val="clear"/>
            <w:tcMar>
              <w:top w:type="dxa" w:w="100"/>
              <w:left w:type="dxa" w:w="120"/>
              <w:bottom w:type="dxa" w:w="100"/>
              <w:right w:type="dxa" w:w="120"/>
            </w:tcMar>
            <w:vAlign w:val="center"/>
          </w:tcPr>
          <w:p>
            <w:r>
              <w:rPr>
                <w:b/>
                <w:bCs/>
                <w:color w:val="FFFFFF"/>
                <w:sz w:val="19"/>
                <w:szCs w:val="19"/>
              </w:rPr>
              <w:t xml:space="preserve">Onderdeel</w:t>
            </w:r>
          </w:p>
        </w:tc>
        <w:tc>
          <w:tcPr>
            <w:tcW w:type="dxa" w:w="2300"/>
            <w:shd w:fill="1F3A5F" w:val="clear"/>
            <w:tcMar>
              <w:top w:type="dxa" w:w="100"/>
              <w:left w:type="dxa" w:w="120"/>
              <w:bottom w:type="dxa" w:w="100"/>
              <w:right w:type="dxa" w:w="120"/>
            </w:tcMar>
            <w:vAlign w:val="center"/>
          </w:tcPr>
          <w:p>
            <w:r>
              <w:rPr>
                <w:b/>
                <w:bCs/>
                <w:color w:val="FFFFFF"/>
                <w:sz w:val="19"/>
                <w:szCs w:val="19"/>
              </w:rPr>
              <w:t xml:space="preserve">Vorm</w:t>
            </w:r>
          </w:p>
        </w:tc>
        <w:tc>
          <w:tcPr>
            <w:tcW w:type="dxa" w:w="1338"/>
            <w:shd w:fill="1F3A5F" w:val="clear"/>
            <w:tcMar>
              <w:top w:type="dxa" w:w="100"/>
              <w:left w:type="dxa" w:w="120"/>
              <w:bottom w:type="dxa" w:w="100"/>
              <w:right w:type="dxa" w:w="120"/>
            </w:tcMar>
            <w:vAlign w:val="center"/>
          </w:tcPr>
          <w:p>
            <w:r>
              <w:rPr>
                <w:b/>
                <w:bCs/>
                <w:color w:val="FFFFFF"/>
                <w:sz w:val="19"/>
                <w:szCs w:val="19"/>
              </w:rPr>
              <w:t xml:space="preserve">Slides</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0:00–0:15</w:t>
            </w:r>
          </w:p>
        </w:tc>
        <w:tc>
          <w:tcPr>
            <w:tcW w:type="dxa" w:w="4600"/>
            <w:tcMar>
              <w:top w:type="dxa" w:w="100"/>
              <w:left w:type="dxa" w:w="120"/>
              <w:bottom w:type="dxa" w:w="100"/>
              <w:right w:type="dxa" w:w="120"/>
            </w:tcMar>
            <w:vAlign w:val="center"/>
          </w:tcPr>
          <w:p>
            <w:r>
              <w:rPr>
                <w:b w:val="false"/>
                <w:bCs w:val="false"/>
                <w:color w:val="1F2937"/>
                <w:sz w:val="19"/>
                <w:szCs w:val="19"/>
              </w:rPr>
              <w:t xml:space="preserve">Positionering niveau 3; de casus achttien maanden later</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338"/>
            <w:tcMar>
              <w:top w:type="dxa" w:w="100"/>
              <w:left w:type="dxa" w:w="120"/>
              <w:bottom w:type="dxa" w:w="100"/>
              <w:right w:type="dxa" w:w="120"/>
            </w:tcMar>
            <w:vAlign w:val="center"/>
          </w:tcPr>
          <w:p>
            <w:r>
              <w:rPr>
                <w:b w:val="false"/>
                <w:bCs w:val="false"/>
                <w:color w:val="1F2937"/>
                <w:sz w:val="19"/>
                <w:szCs w:val="19"/>
              </w:rPr>
              <w:t xml:space="preserve">2–3</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0:15–0:30</w:t>
            </w:r>
          </w:p>
        </w:tc>
        <w:tc>
          <w:tcPr>
            <w:tcW w:type="dxa" w:w="4600"/>
            <w:tcMar>
              <w:top w:type="dxa" w:w="100"/>
              <w:left w:type="dxa" w:w="120"/>
              <w:bottom w:type="dxa" w:w="100"/>
              <w:right w:type="dxa" w:w="120"/>
            </w:tcMar>
            <w:vAlign w:val="center"/>
          </w:tcPr>
          <w:p>
            <w:r>
              <w:rPr>
                <w:b w:val="false"/>
                <w:bCs w:val="false"/>
                <w:color w:val="1F2937"/>
                <w:sz w:val="19"/>
                <w:szCs w:val="19"/>
              </w:rPr>
              <w:t xml:space="preserve">Wat er wordt getoetst; de vijf criteria</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338"/>
            <w:tcMar>
              <w:top w:type="dxa" w:w="100"/>
              <w:left w:type="dxa" w:w="120"/>
              <w:bottom w:type="dxa" w:w="100"/>
              <w:right w:type="dxa" w:w="120"/>
            </w:tcMar>
            <w:vAlign w:val="center"/>
          </w:tcPr>
          <w:p>
            <w:r>
              <w:rPr>
                <w:b w:val="false"/>
                <w:bCs w:val="false"/>
                <w:color w:val="1F2937"/>
                <w:sz w:val="19"/>
                <w:szCs w:val="19"/>
              </w:rPr>
              <w:t xml:space="preserve">4–8</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0:30–1:00</w:t>
            </w:r>
          </w:p>
        </w:tc>
        <w:tc>
          <w:tcPr>
            <w:tcW w:type="dxa" w:w="4600"/>
            <w:tcMar>
              <w:top w:type="dxa" w:w="100"/>
              <w:left w:type="dxa" w:w="120"/>
              <w:bottom w:type="dxa" w:w="100"/>
              <w:right w:type="dxa" w:w="120"/>
            </w:tcMar>
            <w:vAlign w:val="center"/>
          </w:tcPr>
          <w:p>
            <w:r>
              <w:rPr>
                <w:b w:val="false"/>
                <w:bCs w:val="false"/>
                <w:color w:val="1F2937"/>
                <w:sz w:val="19"/>
                <w:szCs w:val="19"/>
              </w:rPr>
              <w:t xml:space="preserve">Opdracht 22.1 — drie opdrachten beoordelen</w:t>
            </w:r>
          </w:p>
        </w:tc>
        <w:tc>
          <w:tcPr>
            <w:tcW w:type="dxa" w:w="2300"/>
            <w:tcMar>
              <w:top w:type="dxa" w:w="100"/>
              <w:left w:type="dxa" w:w="120"/>
              <w:bottom w:type="dxa" w:w="100"/>
              <w:right w:type="dxa" w:w="120"/>
            </w:tcMar>
            <w:vAlign w:val="center"/>
          </w:tcPr>
          <w:p>
            <w:r>
              <w:rPr>
                <w:b w:val="false"/>
                <w:bCs w:val="false"/>
                <w:color w:val="1F2937"/>
                <w:sz w:val="19"/>
                <w:szCs w:val="19"/>
              </w:rPr>
              <w:t xml:space="preserve">individueel + plenair</w:t>
            </w:r>
          </w:p>
        </w:tc>
        <w:tc>
          <w:tcPr>
            <w:tcW w:type="dxa" w:w="1338"/>
            <w:tcMar>
              <w:top w:type="dxa" w:w="100"/>
              <w:left w:type="dxa" w:w="120"/>
              <w:bottom w:type="dxa" w:w="100"/>
              <w:right w:type="dxa" w:w="120"/>
            </w:tcMar>
            <w:vAlign w:val="center"/>
          </w:tcPr>
          <w:p>
            <w:r>
              <w:rPr>
                <w:b w:val="false"/>
                <w:bCs w:val="false"/>
                <w:color w:val="1F2937"/>
                <w:sz w:val="19"/>
                <w:szCs w:val="19"/>
              </w:rPr>
              <w:t xml:space="preserve">9</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1:00–1:10</w:t>
            </w:r>
          </w:p>
        </w:tc>
        <w:tc>
          <w:tcPr>
            <w:tcW w:type="dxa" w:w="4600"/>
            <w:tcMar>
              <w:top w:type="dxa" w:w="100"/>
              <w:left w:type="dxa" w:w="120"/>
              <w:bottom w:type="dxa" w:w="100"/>
              <w:right w:type="dxa" w:w="120"/>
            </w:tcMar>
            <w:vAlign w:val="center"/>
          </w:tcPr>
          <w:p>
            <w:r>
              <w:rPr>
                <w:b w:val="false"/>
                <w:bCs w:val="false"/>
                <w:color w:val="1F2937"/>
                <w:sz w:val="19"/>
                <w:szCs w:val="19"/>
              </w:rPr>
              <w:t xml:space="preserve">Pauze</w:t>
            </w:r>
          </w:p>
        </w:tc>
        <w:tc>
          <w:tcPr>
            <w:tcW w:type="dxa" w:w="2300"/>
            <w:tcMar>
              <w:top w:type="dxa" w:w="100"/>
              <w:left w:type="dxa" w:w="120"/>
              <w:bottom w:type="dxa" w:w="100"/>
              <w:right w:type="dxa" w:w="120"/>
            </w:tcMar>
            <w:vAlign w:val="center"/>
          </w:tcPr>
          <w:p>
            <w:r>
              <w:rPr>
                <w:b w:val="false"/>
                <w:bCs w:val="false"/>
                <w:color w:val="1F2937"/>
                <w:sz w:val="19"/>
                <w:szCs w:val="19"/>
              </w:rPr>
              <w:t xml:space="preserve"/>
            </w:r>
          </w:p>
        </w:tc>
        <w:tc>
          <w:tcPr>
            <w:tcW w:type="dxa" w:w="1338"/>
            <w:tcMar>
              <w:top w:type="dxa" w:w="100"/>
              <w:left w:type="dxa" w:w="120"/>
              <w:bottom w:type="dxa" w:w="100"/>
              <w:right w:type="dxa" w:w="120"/>
            </w:tcMar>
            <w:vAlign w:val="center"/>
          </w:tcPr>
          <w:p>
            <w:r>
              <w:rPr>
                <w:b w:val="false"/>
                <w:bCs w:val="false"/>
                <w:color w:val="1F2937"/>
                <w:sz w:val="19"/>
                <w:szCs w:val="19"/>
              </w:rPr>
              <w:t xml:space="preserve"/>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1:10–1:25</w:t>
            </w:r>
          </w:p>
        </w:tc>
        <w:tc>
          <w:tcPr>
            <w:tcW w:type="dxa" w:w="4600"/>
            <w:tcMar>
              <w:top w:type="dxa" w:w="100"/>
              <w:left w:type="dxa" w:w="120"/>
              <w:bottom w:type="dxa" w:w="100"/>
              <w:right w:type="dxa" w:w="120"/>
            </w:tcMar>
            <w:vAlign w:val="center"/>
          </w:tcPr>
          <w:p>
            <w:r>
              <w:rPr>
                <w:b w:val="false"/>
                <w:bCs w:val="false"/>
                <w:color w:val="1F2937"/>
                <w:sz w:val="19"/>
                <w:szCs w:val="19"/>
              </w:rPr>
              <w:t xml:space="preserve">Afbakenen vanuit drijvers</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338"/>
            <w:tcMar>
              <w:top w:type="dxa" w:w="100"/>
              <w:left w:type="dxa" w:w="120"/>
              <w:bottom w:type="dxa" w:w="100"/>
              <w:right w:type="dxa" w:w="120"/>
            </w:tcMar>
            <w:vAlign w:val="center"/>
          </w:tcPr>
          <w:p>
            <w:r>
              <w:rPr>
                <w:b w:val="false"/>
                <w:bCs w:val="false"/>
                <w:color w:val="1F2937"/>
                <w:sz w:val="19"/>
                <w:szCs w:val="19"/>
              </w:rPr>
              <w:t xml:space="preserve">10–13</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1:25–2:00</w:t>
            </w:r>
          </w:p>
        </w:tc>
        <w:tc>
          <w:tcPr>
            <w:tcW w:type="dxa" w:w="4600"/>
            <w:tcMar>
              <w:top w:type="dxa" w:w="100"/>
              <w:left w:type="dxa" w:w="120"/>
              <w:bottom w:type="dxa" w:w="100"/>
              <w:right w:type="dxa" w:w="120"/>
            </w:tcMar>
            <w:vAlign w:val="center"/>
          </w:tcPr>
          <w:p>
            <w:r>
              <w:rPr>
                <w:b w:val="false"/>
                <w:bCs w:val="false"/>
                <w:color w:val="1F2937"/>
                <w:sz w:val="19"/>
                <w:szCs w:val="19"/>
              </w:rPr>
              <w:t xml:space="preserve">Opdracht 22.2 — uw systeem kiezen</w:t>
            </w:r>
          </w:p>
        </w:tc>
        <w:tc>
          <w:tcPr>
            <w:tcW w:type="dxa" w:w="2300"/>
            <w:tcMar>
              <w:top w:type="dxa" w:w="100"/>
              <w:left w:type="dxa" w:w="120"/>
              <w:bottom w:type="dxa" w:w="100"/>
              <w:right w:type="dxa" w:w="120"/>
            </w:tcMar>
            <w:vAlign w:val="center"/>
          </w:tcPr>
          <w:p>
            <w:r>
              <w:rPr>
                <w:b w:val="false"/>
                <w:bCs w:val="false"/>
                <w:color w:val="1F2937"/>
                <w:sz w:val="19"/>
                <w:szCs w:val="19"/>
              </w:rPr>
              <w:t xml:space="preserve">individueel + duo's</w:t>
            </w:r>
          </w:p>
        </w:tc>
        <w:tc>
          <w:tcPr>
            <w:tcW w:type="dxa" w:w="1338"/>
            <w:tcMar>
              <w:top w:type="dxa" w:w="100"/>
              <w:left w:type="dxa" w:w="120"/>
              <w:bottom w:type="dxa" w:w="100"/>
              <w:right w:type="dxa" w:w="120"/>
            </w:tcMar>
            <w:vAlign w:val="center"/>
          </w:tcPr>
          <w:p>
            <w:r>
              <w:rPr>
                <w:b w:val="false"/>
                <w:bCs w:val="false"/>
                <w:color w:val="1F2937"/>
                <w:sz w:val="19"/>
                <w:szCs w:val="19"/>
              </w:rPr>
              <w:t xml:space="preserve">14</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2:00–2:30</w:t>
            </w:r>
          </w:p>
        </w:tc>
        <w:tc>
          <w:tcPr>
            <w:tcW w:type="dxa" w:w="4600"/>
            <w:tcMar>
              <w:top w:type="dxa" w:w="100"/>
              <w:left w:type="dxa" w:w="120"/>
              <w:bottom w:type="dxa" w:w="100"/>
              <w:right w:type="dxa" w:w="120"/>
            </w:tcMar>
            <w:vAlign w:val="center"/>
          </w:tcPr>
          <w:p>
            <w:r>
              <w:rPr>
                <w:b w:val="false"/>
                <w:bCs w:val="false"/>
                <w:color w:val="1F2937"/>
                <w:sz w:val="19"/>
                <w:szCs w:val="19"/>
              </w:rPr>
              <w:t xml:space="preserve">Opdracht 22.3 — afbakenen vanuit drijvers</w:t>
            </w:r>
          </w:p>
        </w:tc>
        <w:tc>
          <w:tcPr>
            <w:tcW w:type="dxa" w:w="2300"/>
            <w:tcMar>
              <w:top w:type="dxa" w:w="100"/>
              <w:left w:type="dxa" w:w="120"/>
              <w:bottom w:type="dxa" w:w="100"/>
              <w:right w:type="dxa" w:w="120"/>
            </w:tcMar>
            <w:vAlign w:val="center"/>
          </w:tcPr>
          <w:p>
            <w:r>
              <w:rPr>
                <w:b w:val="false"/>
                <w:bCs w:val="false"/>
                <w:color w:val="1F2937"/>
                <w:sz w:val="19"/>
                <w:szCs w:val="19"/>
              </w:rPr>
              <w:t xml:space="preserve">duo's</w:t>
            </w:r>
          </w:p>
        </w:tc>
        <w:tc>
          <w:tcPr>
            <w:tcW w:type="dxa" w:w="1338"/>
            <w:tcMar>
              <w:top w:type="dxa" w:w="100"/>
              <w:left w:type="dxa" w:w="120"/>
              <w:bottom w:type="dxa" w:w="100"/>
              <w:right w:type="dxa" w:w="120"/>
            </w:tcMar>
            <w:vAlign w:val="center"/>
          </w:tcPr>
          <w:p>
            <w:r>
              <w:rPr>
                <w:b w:val="false"/>
                <w:bCs w:val="false"/>
                <w:color w:val="1F2937"/>
                <w:sz w:val="19"/>
                <w:szCs w:val="19"/>
              </w:rPr>
              <w:t xml:space="preserve">—</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2:30–2:40</w:t>
            </w:r>
          </w:p>
        </w:tc>
        <w:tc>
          <w:tcPr>
            <w:tcW w:type="dxa" w:w="4600"/>
            <w:tcMar>
              <w:top w:type="dxa" w:w="100"/>
              <w:left w:type="dxa" w:w="120"/>
              <w:bottom w:type="dxa" w:w="100"/>
              <w:right w:type="dxa" w:w="120"/>
            </w:tcMar>
            <w:vAlign w:val="center"/>
          </w:tcPr>
          <w:p>
            <w:r>
              <w:rPr>
                <w:b w:val="false"/>
                <w:bCs w:val="false"/>
                <w:color w:val="1F2937"/>
                <w:sz w:val="19"/>
                <w:szCs w:val="19"/>
              </w:rPr>
              <w:t xml:space="preserve">Pauze</w:t>
            </w:r>
          </w:p>
        </w:tc>
        <w:tc>
          <w:tcPr>
            <w:tcW w:type="dxa" w:w="2300"/>
            <w:tcMar>
              <w:top w:type="dxa" w:w="100"/>
              <w:left w:type="dxa" w:w="120"/>
              <w:bottom w:type="dxa" w:w="100"/>
              <w:right w:type="dxa" w:w="120"/>
            </w:tcMar>
            <w:vAlign w:val="center"/>
          </w:tcPr>
          <w:p>
            <w:r>
              <w:rPr>
                <w:b w:val="false"/>
                <w:bCs w:val="false"/>
                <w:color w:val="1F2937"/>
                <w:sz w:val="19"/>
                <w:szCs w:val="19"/>
              </w:rPr>
              <w:t xml:space="preserve"/>
            </w:r>
          </w:p>
        </w:tc>
        <w:tc>
          <w:tcPr>
            <w:tcW w:type="dxa" w:w="1338"/>
            <w:tcMar>
              <w:top w:type="dxa" w:w="100"/>
              <w:left w:type="dxa" w:w="120"/>
              <w:bottom w:type="dxa" w:w="100"/>
              <w:right w:type="dxa" w:w="120"/>
            </w:tcMar>
            <w:vAlign w:val="center"/>
          </w:tcPr>
          <w:p>
            <w:r>
              <w:rPr>
                <w:b w:val="false"/>
                <w:bCs w:val="false"/>
                <w:color w:val="1F2937"/>
                <w:sz w:val="19"/>
                <w:szCs w:val="19"/>
              </w:rPr>
              <w:t xml:space="preserve"/>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2:40–2:55</w:t>
            </w:r>
          </w:p>
        </w:tc>
        <w:tc>
          <w:tcPr>
            <w:tcW w:type="dxa" w:w="4600"/>
            <w:tcMar>
              <w:top w:type="dxa" w:w="100"/>
              <w:left w:type="dxa" w:w="120"/>
              <w:bottom w:type="dxa" w:w="100"/>
              <w:right w:type="dxa" w:w="120"/>
            </w:tcMar>
            <w:vAlign w:val="center"/>
          </w:tcPr>
          <w:p>
            <w:r>
              <w:rPr>
                <w:b w:val="false"/>
                <w:bCs w:val="false"/>
                <w:color w:val="1F2937"/>
                <w:sz w:val="19"/>
                <w:szCs w:val="19"/>
              </w:rPr>
              <w:t xml:space="preserve">Vertrouwelijkheid en materiaal</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338"/>
            <w:tcMar>
              <w:top w:type="dxa" w:w="100"/>
              <w:left w:type="dxa" w:w="120"/>
              <w:bottom w:type="dxa" w:w="100"/>
              <w:right w:type="dxa" w:w="120"/>
            </w:tcMar>
            <w:vAlign w:val="center"/>
          </w:tcPr>
          <w:p>
            <w:r>
              <w:rPr>
                <w:b w:val="false"/>
                <w:bCs w:val="false"/>
                <w:color w:val="1F2937"/>
                <w:sz w:val="19"/>
                <w:szCs w:val="19"/>
              </w:rPr>
              <w:t xml:space="preserve">15–20</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2:55–3:20</w:t>
            </w:r>
          </w:p>
        </w:tc>
        <w:tc>
          <w:tcPr>
            <w:tcW w:type="dxa" w:w="4600"/>
            <w:tcMar>
              <w:top w:type="dxa" w:w="100"/>
              <w:left w:type="dxa" w:w="120"/>
              <w:bottom w:type="dxa" w:w="100"/>
              <w:right w:type="dxa" w:w="120"/>
            </w:tcMar>
            <w:vAlign w:val="center"/>
          </w:tcPr>
          <w:p>
            <w:r>
              <w:rPr>
                <w:b w:val="false"/>
                <w:bCs w:val="false"/>
                <w:color w:val="1F2937"/>
                <w:sz w:val="19"/>
                <w:szCs w:val="19"/>
              </w:rPr>
              <w:t xml:space="preserve">Opdracht 22.4 — materiaal inventariseren</w:t>
            </w:r>
          </w:p>
        </w:tc>
        <w:tc>
          <w:tcPr>
            <w:tcW w:type="dxa" w:w="2300"/>
            <w:tcMar>
              <w:top w:type="dxa" w:w="100"/>
              <w:left w:type="dxa" w:w="120"/>
              <w:bottom w:type="dxa" w:w="100"/>
              <w:right w:type="dxa" w:w="120"/>
            </w:tcMar>
            <w:vAlign w:val="center"/>
          </w:tcPr>
          <w:p>
            <w:r>
              <w:rPr>
                <w:b w:val="false"/>
                <w:bCs w:val="false"/>
                <w:color w:val="1F2937"/>
                <w:sz w:val="19"/>
                <w:szCs w:val="19"/>
              </w:rPr>
              <w:t xml:space="preserve">individueel</w:t>
            </w:r>
          </w:p>
        </w:tc>
        <w:tc>
          <w:tcPr>
            <w:tcW w:type="dxa" w:w="1338"/>
            <w:tcMar>
              <w:top w:type="dxa" w:w="100"/>
              <w:left w:type="dxa" w:w="120"/>
              <w:bottom w:type="dxa" w:w="100"/>
              <w:right w:type="dxa" w:w="120"/>
            </w:tcMar>
            <w:vAlign w:val="center"/>
          </w:tcPr>
          <w:p>
            <w:r>
              <w:rPr>
                <w:b w:val="false"/>
                <w:bCs w:val="false"/>
                <w:color w:val="1F2937"/>
                <w:sz w:val="19"/>
                <w:szCs w:val="19"/>
              </w:rPr>
              <w:t xml:space="preserve">—</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3:20–3:45</w:t>
            </w:r>
          </w:p>
        </w:tc>
        <w:tc>
          <w:tcPr>
            <w:tcW w:type="dxa" w:w="4600"/>
            <w:tcMar>
              <w:top w:type="dxa" w:w="100"/>
              <w:left w:type="dxa" w:w="120"/>
              <w:bottom w:type="dxa" w:w="100"/>
              <w:right w:type="dxa" w:w="120"/>
            </w:tcMar>
            <w:vAlign w:val="center"/>
          </w:tcPr>
          <w:p>
            <w:r>
              <w:rPr>
                <w:b w:val="false"/>
                <w:bCs w:val="false"/>
                <w:color w:val="1F2937"/>
                <w:sz w:val="19"/>
                <w:szCs w:val="19"/>
              </w:rPr>
              <w:t xml:space="preserve">Opdracht 22.5 — het casusspoor</w:t>
            </w:r>
          </w:p>
        </w:tc>
        <w:tc>
          <w:tcPr>
            <w:tcW w:type="dxa" w:w="2300"/>
            <w:tcMar>
              <w:top w:type="dxa" w:w="100"/>
              <w:left w:type="dxa" w:w="120"/>
              <w:bottom w:type="dxa" w:w="100"/>
              <w:right w:type="dxa" w:w="120"/>
            </w:tcMar>
            <w:vAlign w:val="center"/>
          </w:tcPr>
          <w:p>
            <w:r>
              <w:rPr>
                <w:b w:val="false"/>
                <w:bCs w:val="false"/>
                <w:color w:val="1F2937"/>
                <w:sz w:val="19"/>
                <w:szCs w:val="19"/>
              </w:rPr>
              <w:t xml:space="preserve">groepen van vier</w:t>
            </w:r>
          </w:p>
        </w:tc>
        <w:tc>
          <w:tcPr>
            <w:tcW w:type="dxa" w:w="1338"/>
            <w:tcMar>
              <w:top w:type="dxa" w:w="100"/>
              <w:left w:type="dxa" w:w="120"/>
              <w:bottom w:type="dxa" w:w="100"/>
              <w:right w:type="dxa" w:w="120"/>
            </w:tcMar>
            <w:vAlign w:val="center"/>
          </w:tcPr>
          <w:p>
            <w:r>
              <w:rPr>
                <w:b w:val="false"/>
                <w:bCs w:val="false"/>
                <w:color w:val="1F2937"/>
                <w:sz w:val="19"/>
                <w:szCs w:val="19"/>
              </w:rPr>
              <w:t xml:space="preserve">21–23</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3:45–4:00</w:t>
            </w:r>
          </w:p>
        </w:tc>
        <w:tc>
          <w:tcPr>
            <w:tcW w:type="dxa" w:w="4600"/>
            <w:tcMar>
              <w:top w:type="dxa" w:w="100"/>
              <w:left w:type="dxa" w:w="120"/>
              <w:bottom w:type="dxa" w:w="100"/>
              <w:right w:type="dxa" w:w="120"/>
            </w:tcMar>
            <w:vAlign w:val="center"/>
          </w:tcPr>
          <w:p>
            <w:r>
              <w:rPr>
                <w:b w:val="false"/>
                <w:bCs w:val="false"/>
                <w:color w:val="1F2937"/>
                <w:sz w:val="19"/>
                <w:szCs w:val="19"/>
              </w:rPr>
              <w:t xml:space="preserve">Werkplan; huiswerk</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 + individueel</w:t>
            </w:r>
          </w:p>
        </w:tc>
        <w:tc>
          <w:tcPr>
            <w:tcW w:type="dxa" w:w="1338"/>
            <w:tcMar>
              <w:top w:type="dxa" w:w="100"/>
              <w:left w:type="dxa" w:w="120"/>
              <w:bottom w:type="dxa" w:w="100"/>
              <w:right w:type="dxa" w:w="120"/>
            </w:tcMar>
            <w:vAlign w:val="center"/>
          </w:tcPr>
          <w:p>
            <w:r>
              <w:rPr>
                <w:b w:val="false"/>
                <w:bCs w:val="false"/>
                <w:color w:val="1F2937"/>
                <w:sz w:val="19"/>
                <w:szCs w:val="19"/>
              </w:rPr>
              <w:t xml:space="preserve">24–26</w:t>
            </w:r>
          </w:p>
        </w:tc>
      </w:tr>
    </w:tbl>
    <w:p>
      <w:pPr>
        <w:spacing w:after="300"/>
      </w:pPr>
    </w:p>
    <w:p>
      <w:pPr>
        <w:spacing w:after="160" w:line="276"/>
      </w:pPr>
      <w:r>
        <w:rPr>
          <w:b/>
          <w:bCs/>
          <w:color w:val="1F2937"/>
          <w:sz w:val="22"/>
          <w:szCs w:val="22"/>
        </w:rPr>
        <w:t xml:space="preserve">Opdracht 22.6 (werkplan) doet u individueel in de laatste vijftien minuten, </w:t>
      </w:r>
      <w:r>
        <w:rPr>
          <w:color w:val="1F2937"/>
          <w:sz w:val="22"/>
          <w:szCs w:val="22"/>
        </w:rPr>
        <w:t xml:space="preserve">met bijlage CD. Bewaak dat het gebeurt — een deel dat eindigt zonder ingevuld werkplan levert deelnemers op die over drie maanden nog niet begonnen zijn.</w:t>
      </w:r>
    </w:p>
    <w:p>
      <w:pPr>
        <w:spacing w:after="160" w:line="276"/>
      </w:pPr>
      <w:r>
        <w:rPr>
          <w:b/>
          <w:bCs/>
          <w:color w:val="1F2937"/>
          <w:sz w:val="22"/>
          <w:szCs w:val="22"/>
        </w:rPr>
        <w:t xml:space="preserve">Bij een groep die al gekozen heeft </w:t>
      </w:r>
      <w:r>
        <w:rPr>
          <w:color w:val="1F2937"/>
          <w:sz w:val="22"/>
          <w:szCs w:val="22"/>
        </w:rPr>
        <w:t xml:space="preserve">(soms komen deelnemers met een systeem in gedachten): kort opdracht 22.2 in en besteed de tijd aan 22.3 en 22.4. De afbakening en de materiaalinventarisatie zijn dan waardevoller.</w:t>
      </w:r>
    </w:p>
    <w:p>
      <w:pPr>
        <w:spacing w:after="160" w:line="276"/>
      </w:pPr>
      <w:r>
        <w:rPr>
          <w:b/>
          <w:bCs/>
          <w:color w:val="1F2937"/>
          <w:sz w:val="22"/>
          <w:szCs w:val="22"/>
        </w:rPr>
        <w:t xml:space="preserve">Wat u nooit inkort: </w:t>
      </w:r>
      <w:r>
        <w:rPr>
          <w:color w:val="1F2937"/>
          <w:sz w:val="22"/>
          <w:szCs w:val="22"/>
        </w:rPr>
        <w:t xml:space="preserve">opdracht 22.2f — de keuze in één zin. Zie paragraaf 3.4.</w:t>
      </w:r>
    </w:p>
    <w:p>
      <w:pPr>
        <w:pStyle w:val="Heading1"/>
        <w:pBdr>
          <w:bottom w:val="single" w:color="E5E7EB" w:sz="6" w:space="6"/>
        </w:pBdr>
        <w:spacing w:after="180" w:before="380"/>
      </w:pPr>
      <w:r>
        <w:rPr>
          <w:b/>
          <w:bCs/>
          <w:color w:val="1F3A5F"/>
          <w:sz w:val="30"/>
          <w:szCs w:val="30"/>
        </w:rPr>
        <w:t xml:space="preserve">3. Per onderdeel: aanpak, valkuilen, sturing</w:t>
      </w:r>
    </w:p>
    <w:p>
      <w:pPr>
        <w:pStyle w:val="Heading2"/>
        <w:spacing w:after="140" w:before="260"/>
      </w:pPr>
      <w:r>
        <w:rPr>
          <w:b/>
          <w:bCs/>
          <w:color w:val="4A6789"/>
          <w:sz w:val="24"/>
          <w:szCs w:val="24"/>
        </w:rPr>
        <w:t xml:space="preserve">3.1 Positionering (slides 2–3)</w:t>
      </w:r>
    </w:p>
    <w:p>
      <w:pPr>
        <w:spacing w:after="160" w:line="276"/>
      </w:pPr>
      <w:r>
        <w:rPr>
          <w:b/>
          <w:bCs/>
          <w:color w:val="1F2937"/>
          <w:sz w:val="22"/>
          <w:szCs w:val="22"/>
        </w:rPr>
        <w:t xml:space="preserve">Maak de sporenopzet expliciet. </w:t>
      </w:r>
      <w:r>
        <w:rPr>
          <w:color w:val="1F2937"/>
          <w:sz w:val="22"/>
          <w:szCs w:val="22"/>
        </w:rPr>
        <w:t xml:space="preserve">Deelnemers die verwachten dat Meridiaan het onderwerp blijft, raken in verwarring bij de eerste eigen opdracht.</w:t>
      </w:r>
    </w:p>
    <w:p>
      <w:pPr>
        <w:spacing w:after="160" w:line="276"/>
      </w:pPr>
      <w:r>
        <w:rPr>
          <w:color w:val="1F2937"/>
          <w:sz w:val="22"/>
          <w:szCs w:val="22"/>
        </w:rPr>
        <w:t xml:space="preserve">Slide 3 introduceert de casus en het is nuttig te benoemen waarom deze situatie is gekozen: twee tegelijk lopende trajecten, een deadline die niet verschuift, en een systeem in productie. Dat is de zwaarste architectuurvraag van de hele reeks, en zij is representatief voor wat een certificeringsopdracht sterk maakt.</w:t>
      </w:r>
    </w:p>
    <w:p>
      <w:pPr>
        <w:pStyle w:val="Heading2"/>
        <w:spacing w:after="140" w:before="260"/>
      </w:pPr>
      <w:r>
        <w:rPr>
          <w:b/>
          <w:bCs/>
          <w:color w:val="4A6789"/>
          <w:sz w:val="24"/>
          <w:szCs w:val="24"/>
        </w:rPr>
        <w:t xml:space="preserve">3.2 Wat er wordt getoetst (slides 4–8)</w:t>
      </w:r>
    </w:p>
    <w:p>
      <w:pPr>
        <w:spacing w:after="160" w:line="276"/>
      </w:pPr>
      <w:r>
        <w:rPr>
          <w:b/>
          <w:bCs/>
          <w:color w:val="1F2937"/>
          <w:sz w:val="22"/>
          <w:szCs w:val="22"/>
        </w:rPr>
        <w:t xml:space="preserve">Slide 5 is de zin waarop het hele deel rust: </w:t>
      </w:r>
      <w:r>
        <w:rPr>
          <w:color w:val="1F2937"/>
          <w:sz w:val="22"/>
          <w:szCs w:val="22"/>
        </w:rPr>
        <w:t xml:space="preserve">getoetst wordt of u kunt beslissen, verantwoorden en erover spreken — niet of uw systeem goed is.</w:t>
      </w:r>
    </w:p>
    <w:p>
      <w:pPr>
        <w:spacing w:after="160" w:line="276"/>
      </w:pPr>
      <w:r>
        <w:rPr>
          <w:b/>
          <w:bCs/>
          <w:color w:val="1F2937"/>
          <w:sz w:val="22"/>
          <w:szCs w:val="22"/>
        </w:rPr>
        <w:t xml:space="preserve">Slide 8 is de correctie op de instinctieve keuze. </w:t>
      </w:r>
      <w:r>
        <w:rPr>
          <w:color w:val="1F2937"/>
          <w:sz w:val="22"/>
          <w:szCs w:val="22"/>
        </w:rPr>
        <w:t xml:space="preserve">Zeg het vroeg, want de meeste deelnemers hebben hun best gelukte project al in gedachten.</w:t>
      </w:r>
    </w:p>
    <w:p>
      <w:pPr>
        <w:spacing w:after="160" w:line="276"/>
      </w:pPr>
      <w:r>
        <w:rPr>
          <w:b/>
          <w:bCs/>
          <w:color w:val="1F2937"/>
          <w:sz w:val="22"/>
          <w:szCs w:val="22"/>
        </w:rPr>
        <w:t xml:space="preserve">Verwacht weerstand bij criterium 3 </w:t>
      </w:r>
      <w:r>
        <w:rPr>
          <w:color w:val="1F2937"/>
          <w:sz w:val="22"/>
          <w:szCs w:val="22"/>
        </w:rPr>
        <w:t xml:space="preserve">(er ging iets mis). Deelnemers vinden het onverstandig om over mislukkingen te schrijven in een beoordelingssituatie. Het weerwoord: de examinator zoekt afwegingen, en afwegingen worden zichtbaar op de momenten waarop het niet vanzelf ging. Een opdracht zonder problemen leest als een opdracht zonder nadenken.</w:t>
      </w:r>
    </w:p>
    <w:p>
      <w:pPr>
        <w:pStyle w:val="Heading2"/>
        <w:spacing w:after="140" w:before="260"/>
      </w:pPr>
      <w:r>
        <w:rPr>
          <w:b/>
          <w:bCs/>
          <w:color w:val="4A6789"/>
          <w:sz w:val="24"/>
          <w:szCs w:val="24"/>
        </w:rPr>
        <w:t xml:space="preserve">3.3 Opdracht 22.1 (30 minuten)</w:t>
      </w:r>
    </w:p>
    <w:p>
      <w:pPr>
        <w:spacing w:after="160" w:line="276"/>
      </w:pPr>
      <w:r>
        <w:rPr>
          <w:b/>
          <w:bCs/>
          <w:color w:val="1F2937"/>
          <w:sz w:val="22"/>
          <w:szCs w:val="22"/>
        </w:rPr>
        <w:t xml:space="preserve">Dit is de enige opdracht waarin niet aan eigen materiaal wordt gewerkt, </w:t>
      </w:r>
      <w:r>
        <w:rPr>
          <w:color w:val="1F2937"/>
          <w:sz w:val="22"/>
          <w:szCs w:val="22"/>
        </w:rPr>
        <w:t xml:space="preserve">en zij is daarom uw beste kans om de criteria te laten landen voordat mensen kiezen.</w:t>
      </w:r>
    </w:p>
    <w:p>
      <w:pPr>
        <w:spacing w:after="160" w:line="276"/>
      </w:pPr>
      <w:r>
        <w:rPr>
          <w:b/>
          <w:bCs/>
          <w:color w:val="1F2937"/>
          <w:sz w:val="22"/>
          <w:szCs w:val="22"/>
        </w:rPr>
        <w:t xml:space="preserve">Plenair bij d) en e).</w:t>
      </w:r>
      <w:r>
        <w:rPr>
          <w:color w:val="1F2937"/>
          <w:sz w:val="22"/>
          <w:szCs w:val="22"/>
        </w:rPr>
        <w:t xml:space="preserve"/>
      </w:r>
    </w:p>
    <w:p>
      <w:pPr>
        <w:spacing w:after="160" w:line="276"/>
      </w:pPr>
      <w:r>
        <w:rPr>
          <w:b/>
          <w:bCs/>
          <w:color w:val="1F2937"/>
          <w:sz w:val="22"/>
          <w:szCs w:val="22"/>
        </w:rPr>
        <w:t xml:space="preserve">Bij d) is het getal het argument: </w:t>
      </w:r>
      <w:r>
        <w:rPr>
          <w:color w:val="1F2937"/>
          <w:sz w:val="22"/>
          <w:szCs w:val="22"/>
        </w:rPr>
        <w:t xml:space="preserve">negen, één en vier beslissingen met alternatief. Dat correleert vrijwel volledig met de kwaliteit, en het is een toets die deelnemers op hun eigen concept kunnen loslaten.</w:t>
      </w:r>
    </w:p>
    <w:p>
      <w:pPr>
        <w:spacing w:after="160" w:line="276"/>
      </w:pPr>
      <w:r>
        <w:rPr>
          <w:b/>
          <w:bCs/>
          <w:color w:val="1F2937"/>
          <w:sz w:val="22"/>
          <w:szCs w:val="22"/>
        </w:rPr>
        <w:t xml:space="preserve">Bij e) legt u de spanning bloot </w:t>
      </w:r>
      <w:r>
        <w:rPr>
          <w:color w:val="1F2937"/>
          <w:sz w:val="22"/>
          <w:szCs w:val="22"/>
        </w:rPr>
        <w:t xml:space="preserve">tussen wat prettig is om te vertellen en wat goed materiaal is. Vrijwel iedereen zou het liefst het technisch indrukwekkende systeem verdedigen; het best verdedigbaar is het systeem met de bijgestuurde migratie.</w:t>
      </w:r>
    </w:p>
    <w:p>
      <w:pPr>
        <w:spacing w:after="160" w:line="276"/>
      </w:pPr>
      <w:r>
        <w:rPr>
          <w:b/>
          <w:bCs/>
          <w:color w:val="1F2937"/>
          <w:sz w:val="22"/>
          <w:szCs w:val="22"/>
        </w:rPr>
        <w:t xml:space="preserve">Vermeld de derde opdracht kort maar nadrukkelijk: </w:t>
      </w:r>
      <w:r>
        <w:rPr>
          <w:color w:val="1F2937"/>
          <w:sz w:val="22"/>
          <w:szCs w:val="22"/>
        </w:rPr>
        <w:t xml:space="preserve">zij strandde op vormvereisten en werd niet inhoudelijk beoordeeld. Dat is de goedkoopste fout die er is, en de maatregel kost tien minuten: lees de actuele eisen vóór het schrijven en opnieuw vóór het indienen.</w:t>
      </w:r>
    </w:p>
    <w:p>
      <w:pPr>
        <w:pStyle w:val="Heading2"/>
        <w:spacing w:after="140" w:before="260"/>
      </w:pPr>
      <w:r>
        <w:rPr>
          <w:b/>
          <w:bCs/>
          <w:color w:val="4A6789"/>
          <w:sz w:val="24"/>
          <w:szCs w:val="24"/>
        </w:rPr>
        <w:t xml:space="preserve">3.4 Opdracht 22.2 — de keuze (35 minuten)</w:t>
      </w:r>
    </w:p>
    <w:p>
      <w:pPr>
        <w:spacing w:after="160" w:line="276"/>
      </w:pPr>
      <w:r>
        <w:rPr>
          <w:b/>
          <w:bCs/>
          <w:color w:val="1F2937"/>
          <w:sz w:val="22"/>
          <w:szCs w:val="22"/>
        </w:rPr>
        <w:t xml:space="preserve">Dit is het zwaartepunt van het dagdeel.</w:t>
      </w:r>
      <w:r>
        <w:rPr>
          <w:color w:val="1F2937"/>
          <w:sz w:val="22"/>
          <w:szCs w:val="22"/>
        </w:rPr>
        <w:t xml:space="preserve"/>
      </w:r>
    </w:p>
    <w:p>
      <w:pPr>
        <w:spacing w:after="160" w:line="276"/>
      </w:pPr>
      <w:r>
        <w:rPr>
          <w:b/>
          <w:bCs/>
          <w:color w:val="1F2937"/>
          <w:sz w:val="22"/>
          <w:szCs w:val="22"/>
        </w:rPr>
        <w:t xml:space="preserve">Loop rond en toets criterium 1 en 3 streng. </w:t>
      </w:r>
      <w:r>
        <w:rPr>
          <w:color w:val="1F2937"/>
          <w:sz w:val="22"/>
          <w:szCs w:val="22"/>
        </w:rPr>
        <w:t xml:space="preserve">Twee interventies:</w:t>
      </w:r>
    </w:p>
    <w:p>
      <w:pPr>
        <w:pStyle w:val="ListParagraph"/>
        <w:numPr>
          <w:ilvl w:val="0"/>
          <w:numId w:val="3"/>
        </w:numPr>
        <w:spacing w:after="120"/>
      </w:pPr>
      <w:r>
        <w:rPr>
          <w:b/>
          <w:bCs/>
          <w:color w:val="1F2937"/>
          <w:sz w:val="22"/>
          <w:szCs w:val="22"/>
        </w:rPr>
        <w:t xml:space="preserve">“Ik heb er wel aan meegewerkt.”</w:t>
      </w:r>
      <w:r>
        <w:rPr>
          <w:color w:val="1F2937"/>
          <w:sz w:val="22"/>
          <w:szCs w:val="22"/>
        </w:rPr>
        <w:t xml:space="preserve"> Doorvragen: welke beslissing hebt u genomen? Als het antwoord uitblijft, valt het systeem af op criterium 1 — en dat is beter nu dan na drie maanden schrijven.</w:t>
      </w:r>
    </w:p>
    <w:p>
      <w:pPr>
        <w:pStyle w:val="ListParagraph"/>
        <w:numPr>
          <w:ilvl w:val="0"/>
          <w:numId w:val="3"/>
        </w:numPr>
        <w:spacing w:after="120"/>
      </w:pPr>
      <w:r>
        <w:rPr>
          <w:b/>
          <w:bCs/>
          <w:color w:val="1F2937"/>
          <w:sz w:val="22"/>
          <w:szCs w:val="22"/>
        </w:rPr>
        <w:t xml:space="preserve">“Er ging niets echt mis.”</w:t>
      </w:r>
      <w:r>
        <w:rPr>
          <w:color w:val="1F2937"/>
          <w:sz w:val="22"/>
          <w:szCs w:val="22"/>
        </w:rPr>
        <w:t xml:space="preserve"> Doorvragen: was er een moment waarop u twijfelde? Een beslissing die u hebt herzien? Een meting die tegenviel? In vrijwel elk project is er iets; het is alleen niet opgeschreven omdat het is opgelost.</w:t>
      </w:r>
    </w:p>
    <w:p>
      <w:pPr>
        <w:spacing w:after="160" w:line="276"/>
      </w:pPr>
      <w:r>
        <w:rPr>
          <w:b/>
          <w:bCs/>
          <w:color w:val="1F2937"/>
          <w:sz w:val="22"/>
          <w:szCs w:val="22"/>
        </w:rPr>
        <w:t xml:space="preserve">Onderdeel f) — de keuze in één zin — is niet vrijblijvend en u moet het afdwingen. </w:t>
      </w:r>
      <w:r>
        <w:rPr>
          <w:color w:val="1F2937"/>
          <w:sz w:val="22"/>
          <w:szCs w:val="22"/>
        </w:rPr>
        <w:t xml:space="preserve">Laat iedereen de zin hardop lezen aan hun duopartner.</w:t>
      </w:r>
    </w:p>
    <w:p>
      <w:pPr>
        <w:spacing w:after="160" w:line="276"/>
      </w:pPr>
      <w:r>
        <w:rPr>
          <w:b/>
          <w:bCs/>
          <w:color w:val="1F2937"/>
          <w:sz w:val="22"/>
          <w:szCs w:val="22"/>
        </w:rPr>
        <w:t xml:space="preserve">Waarom dat werkt: </w:t>
      </w:r>
      <w:r>
        <w:rPr>
          <w:color w:val="1F2937"/>
          <w:sz w:val="22"/>
          <w:szCs w:val="22"/>
        </w:rPr>
        <w:t xml:space="preserve">uitstel in dit traject komt zelden door tijdgebrek en meestal door een uitblijvende keuze. Wie na twee maanden nog twijfelt tussen drie systemen, twijfelt omdat geen ervan aan criterium 1 of 3 voldoet.</w:t>
      </w:r>
    </w:p>
    <w:p>
      <w:pPr>
        <w:spacing w:after="160" w:line="276"/>
      </w:pPr>
      <w:r>
        <w:rPr>
          <w:b/>
          <w:bCs/>
          <w:color w:val="1F2937"/>
          <w:sz w:val="22"/>
          <w:szCs w:val="22"/>
        </w:rPr>
        <w:t xml:space="preserve">Als de uitkomst is dat geen kandidaat geschikt is </w:t>
      </w:r>
      <w:r>
        <w:rPr>
          <w:color w:val="1F2937"/>
          <w:sz w:val="22"/>
          <w:szCs w:val="22"/>
        </w:rPr>
        <w:t xml:space="preserve">— en dat gebeurt bij één of twee deelnemers per groep — is dat een bruikbare uitkomst. De route: kies een lopend traject en begin vandaag met vastleggen. Dat kost weinig en het is de enige manier om over een jaar materiaal te hebben. Spreek deze mensen individueel; de mededeling is confronterend in een groep.</w:t>
      </w:r>
    </w:p>
    <w:p>
      <w:pPr>
        <w:pStyle w:val="Heading2"/>
        <w:spacing w:after="140" w:before="260"/>
      </w:pPr>
      <w:r>
        <w:rPr>
          <w:b/>
          <w:bCs/>
          <w:color w:val="4A6789"/>
          <w:sz w:val="24"/>
          <w:szCs w:val="24"/>
        </w:rPr>
        <w:t xml:space="preserve">3.5 Afbakenen (opdracht 22.3, 30 minuten)</w:t>
      </w:r>
    </w:p>
    <w:p>
      <w:pPr>
        <w:spacing w:after="160" w:line="276"/>
      </w:pPr>
      <w:r>
        <w:rPr>
          <w:b/>
          <w:bCs/>
          <w:color w:val="1F2937"/>
          <w:sz w:val="22"/>
          <w:szCs w:val="22"/>
        </w:rPr>
        <w:t xml:space="preserve">Het strenge criterium bij a): </w:t>
      </w:r>
      <w:r>
        <w:rPr>
          <w:color w:val="1F2937"/>
          <w:sz w:val="22"/>
          <w:szCs w:val="22"/>
        </w:rPr>
        <w:t xml:space="preserve">een eis die geen enkele beslissing heeft veranderd, was geen drijver.</w:t>
      </w:r>
    </w:p>
    <w:p>
      <w:pPr>
        <w:spacing w:after="160" w:line="276"/>
      </w:pPr>
      <w:r>
        <w:rPr>
          <w:color w:val="1F2937"/>
          <w:sz w:val="22"/>
          <w:szCs w:val="22"/>
        </w:rPr>
        <w:t xml:space="preserve">Deelnemers beginnen met acht tot twaalf eisen en komen na deze toets op drie tot vijf. De afvallers zijn de vanzelfsprekende eisen die waar zijn en niets hebben gestuurd.</w:t>
      </w:r>
    </w:p>
    <w:p>
      <w:pPr>
        <w:spacing w:after="160" w:line="276"/>
      </w:pPr>
      <w:r>
        <w:rPr>
          <w:b/>
          <w:bCs/>
          <w:color w:val="1F2937"/>
          <w:sz w:val="22"/>
          <w:szCs w:val="22"/>
        </w:rPr>
        <w:t xml:space="preserve">Bij c) voelt “noemen en laten” onbevredigend, </w:t>
      </w:r>
      <w:r>
        <w:rPr>
          <w:color w:val="1F2937"/>
          <w:sz w:val="22"/>
          <w:szCs w:val="22"/>
        </w:rPr>
        <w:t xml:space="preserve">en het is precies wat de opdracht leesbaar maakt. Wijs erop dat een examinator geen volledigheid zoekt maar diepgang.</w:t>
      </w:r>
    </w:p>
    <w:p>
      <w:pPr>
        <w:spacing w:after="160" w:line="276"/>
      </w:pPr>
      <w:r>
        <w:rPr>
          <w:b/>
          <w:bCs/>
          <w:color w:val="1F2937"/>
          <w:sz w:val="22"/>
          <w:szCs w:val="22"/>
        </w:rPr>
        <w:t xml:space="preserve">De duopartnervraag bij e) </w:t>
      </w:r>
      <w:r>
        <w:rPr>
          <w:color w:val="1F2937"/>
          <w:sz w:val="22"/>
          <w:szCs w:val="22"/>
        </w:rPr>
        <w:t xml:space="preserve">is de generale repetitie voor het interview. De vraag die het vaakst onbeantwoord blijft: waaraan hebt u gemeten dat die eis gehaald werd?</w:t>
      </w:r>
    </w:p>
    <w:p>
      <w:pPr>
        <w:pStyle w:val="Heading2"/>
        <w:spacing w:after="140" w:before="260"/>
      </w:pPr>
      <w:r>
        <w:rPr>
          <w:b/>
          <w:bCs/>
          <w:color w:val="4A6789"/>
          <w:sz w:val="24"/>
          <w:szCs w:val="24"/>
        </w:rPr>
        <w:t xml:space="preserve">3.6 Vertrouwelijkheid en materiaal (slides 15–20, opdracht 22.4)</w:t>
      </w:r>
    </w:p>
    <w:p>
      <w:pPr>
        <w:spacing w:after="160" w:line="276"/>
      </w:pPr>
      <w:r>
        <w:rPr>
          <w:b/>
          <w:bCs/>
          <w:color w:val="1F2937"/>
          <w:sz w:val="22"/>
          <w:szCs w:val="22"/>
        </w:rPr>
        <w:t xml:space="preserve">Slide 16, route 1 verdient nadruk. </w:t>
      </w:r>
      <w:r>
        <w:rPr>
          <w:color w:val="1F2937"/>
          <w:sz w:val="22"/>
          <w:szCs w:val="22"/>
        </w:rPr>
        <w:t xml:space="preserve">Toestemming wordt verrassend vaak verleend, zeker met het aanbod de tekst vooraf te laten lezen. Deelnemers gaan er te snel van uit dat het niet kan, en beginnen dan met anonimiseren.</w:t>
      </w:r>
    </w:p>
    <w:p>
      <w:pPr>
        <w:spacing w:after="160" w:line="276"/>
      </w:pPr>
      <w:r>
        <w:rPr>
          <w:b/>
          <w:bCs/>
          <w:color w:val="1F2937"/>
          <w:sz w:val="22"/>
          <w:szCs w:val="22"/>
        </w:rPr>
        <w:t xml:space="preserve">De valkuil bij anonimiseren </w:t>
      </w:r>
      <w:r>
        <w:rPr>
          <w:color w:val="1F2937"/>
          <w:sz w:val="22"/>
          <w:szCs w:val="22"/>
        </w:rPr>
        <w:t xml:space="preserve">is te veel weghalen. Zonder sector, omvang en aard van de eisen is de opdracht inhoudsloos — de context maakt de afwegingen begrijpelijk.</w:t>
      </w:r>
    </w:p>
    <w:p>
      <w:pPr>
        <w:spacing w:after="160" w:line="276"/>
      </w:pPr>
      <w:r>
        <w:rPr>
          <w:b/>
          <w:bCs/>
          <w:color w:val="1F2937"/>
          <w:sz w:val="22"/>
          <w:szCs w:val="22"/>
        </w:rPr>
        <w:t xml:space="preserve">Slide 19 is de terugkoppeling naar niveau 1: </w:t>
      </w:r>
      <w:r>
        <w:rPr>
          <w:color w:val="1F2937"/>
          <w:sz w:val="22"/>
          <w:szCs w:val="22"/>
        </w:rPr>
        <w:t xml:space="preserve">de gaten zijn bij vrijwel iedereen de afgewezen alternatieven en de motivering, en dat is bevinding B1 in de eigen praktijk. Dat inzicht landt hard en het is nuttig.</w:t>
      </w:r>
    </w:p>
    <w:p>
      <w:pPr>
        <w:spacing w:after="160" w:line="276"/>
      </w:pPr>
      <w:r>
        <w:rPr>
          <w:b/>
          <w:bCs/>
          <w:color w:val="1F2937"/>
          <w:sz w:val="22"/>
          <w:szCs w:val="22"/>
        </w:rPr>
        <w:t xml:space="preserve">Opdracht 22.4c is de concrete actie van het dagdeel. </w:t>
      </w:r>
      <w:r>
        <w:rPr>
          <w:color w:val="1F2937"/>
          <w:sz w:val="22"/>
          <w:szCs w:val="22"/>
        </w:rPr>
        <w:t xml:space="preserve">Dwing af dat er namen worden genoteerd en gesprekken worden gepland. “Ik vraag nog wel iemand” betekent dat het niet gebeurt.</w:t>
      </w:r>
    </w:p>
    <w:p>
      <w:pPr>
        <w:pStyle w:val="Heading2"/>
        <w:spacing w:after="140" w:before="260"/>
      </w:pPr>
      <w:r>
        <w:rPr>
          <w:b/>
          <w:bCs/>
          <w:color w:val="4A6789"/>
          <w:sz w:val="24"/>
          <w:szCs w:val="24"/>
        </w:rPr>
        <w:t xml:space="preserve">3.7 Het casusspoor (opdracht 22.5, 25 minuten)</w:t>
      </w:r>
    </w:p>
    <w:p>
      <w:pPr>
        <w:spacing w:after="160" w:line="276"/>
      </w:pPr>
      <w:r>
        <w:rPr>
          <w:b/>
          <w:bCs/>
          <w:color w:val="1F2937"/>
          <w:sz w:val="22"/>
          <w:szCs w:val="22"/>
        </w:rPr>
        <w:t xml:space="preserve">Plenair bij d). </w:t>
      </w:r>
      <w:r>
        <w:rPr>
          <w:color w:val="1F2937"/>
          <w:sz w:val="22"/>
          <w:szCs w:val="22"/>
        </w:rPr>
        <w:t xml:space="preserve">De constatering dat alle drie de onomkeerbare beslissingen uit deel 17 worden geraakt, is de belangrijkste van dit dagdeel voor het casusspoor.</w:t>
      </w:r>
    </w:p>
    <w:p>
      <w:pPr>
        <w:spacing w:after="160" w:line="276"/>
      </w:pPr>
      <w:r>
        <w:rPr>
          <w:b/>
          <w:bCs/>
          <w:color w:val="1F2937"/>
          <w:sz w:val="22"/>
          <w:szCs w:val="22"/>
        </w:rPr>
        <w:t xml:space="preserve">Het patroon dat u benoemt: </w:t>
      </w:r>
      <w:r>
        <w:rPr>
          <w:color w:val="1F2937"/>
          <w:sz w:val="22"/>
          <w:szCs w:val="22"/>
        </w:rPr>
        <w:t xml:space="preserve">een uitbreiding raakt bijna altijd de aannames die zo vanzelfsprekend waren dat niemand ze opschreef. Er was één fonds, dus stond er geen fondsaanduiding in het gebeurtenismodel. Dat is geen nalatigheid maar de normale gang van zaken — en het is precies waarom deel 17 die drie beslissingen als onomkeerbaar markeerde.</w:t>
      </w:r>
    </w:p>
    <w:p>
      <w:pPr>
        <w:spacing w:after="160" w:line="276"/>
      </w:pPr>
      <w:r>
        <w:rPr>
          <w:b/>
          <w:bCs/>
          <w:color w:val="1F2937"/>
          <w:sz w:val="22"/>
          <w:szCs w:val="22"/>
        </w:rPr>
        <w:t xml:space="preserve">Bij e) is de vraag waarom dit goed oefenmateriaal is, </w:t>
      </w:r>
      <w:r>
        <w:rPr>
          <w:color w:val="1F2937"/>
          <w:sz w:val="22"/>
          <w:szCs w:val="22"/>
        </w:rPr>
        <w:t xml:space="preserve">en het antwoord verbindt terug naar de vijf criteria: echte alternatieven, harde randvoorwaarden, en er gaat vrijwel zeker iets mis.</w:t>
      </w:r>
    </w:p>
    <w:p>
      <w:pPr>
        <w:pStyle w:val="Heading2"/>
        <w:spacing w:after="140" w:before="260"/>
      </w:pPr>
      <w:r>
        <w:rPr>
          <w:b/>
          <w:bCs/>
          <w:color w:val="4A6789"/>
          <w:sz w:val="24"/>
          <w:szCs w:val="24"/>
        </w:rPr>
        <w:t xml:space="preserve">3.8 Werkplan (slides 24–26)</w:t>
      </w:r>
    </w:p>
    <w:p>
      <w:pPr>
        <w:spacing w:after="160" w:line="276"/>
      </w:pPr>
      <w:r>
        <w:rPr>
          <w:b/>
          <w:bCs/>
          <w:color w:val="1F2937"/>
          <w:sz w:val="22"/>
          <w:szCs w:val="22"/>
        </w:rPr>
        <w:t xml:space="preserve">Slide 25 is de zin die deelnemers meenemen: </w:t>
      </w:r>
      <w:r>
        <w:rPr>
          <w:color w:val="1F2937"/>
          <w:sz w:val="22"/>
          <w:szCs w:val="22"/>
        </w:rPr>
        <w:t xml:space="preserve">u bent de slechtste beoordelaar van uw eigen opdracht.</w:t>
      </w:r>
    </w:p>
    <w:p>
      <w:pPr>
        <w:spacing w:after="160" w:line="276"/>
      </w:pPr>
      <w:r>
        <w:rPr>
          <w:b/>
          <w:bCs/>
          <w:color w:val="1F2937"/>
          <w:sz w:val="22"/>
          <w:szCs w:val="22"/>
        </w:rPr>
        <w:t xml:space="preserve">Bewaak dat het werkplan wordt ingevuld </w:t>
      </w:r>
      <w:r>
        <w:rPr>
          <w:color w:val="1F2937"/>
          <w:sz w:val="22"/>
          <w:szCs w:val="22"/>
        </w:rPr>
        <w:t xml:space="preserve">en dat de lezer bij stap 6 een naam heeft. Vraag aan het eind wie die naam heeft opgeschreven; de handen die omlaag blijven, zijn de deelnemers die stap 6 gaan overslaan.</w:t>
      </w:r>
    </w:p>
    <w:p>
      <w:pPr>
        <w:pStyle w:val="Heading1"/>
        <w:pBdr>
          <w:bottom w:val="single" w:color="E5E7EB" w:sz="6" w:space="6"/>
        </w:pBdr>
        <w:spacing w:after="180" w:before="380"/>
      </w:pPr>
      <w:r>
        <w:rPr>
          <w:b/>
          <w:bCs/>
          <w:color w:val="1F3A5F"/>
          <w:sz w:val="30"/>
          <w:szCs w:val="30"/>
        </w:rPr>
        <w:t xml:space="preserve">4. Omgaan met bijzondere situaties</w:t>
      </w:r>
    </w:p>
    <w:p>
      <w:pPr>
        <w:spacing w:after="160" w:line="276"/>
      </w:pPr>
      <w:r>
        <w:rPr>
          <w:b/>
          <w:bCs/>
          <w:color w:val="1F2937"/>
          <w:sz w:val="22"/>
          <w:szCs w:val="22"/>
        </w:rPr>
        <w:t xml:space="preserve">“Ik heb geen geschikt systeem.” </w:t>
      </w:r>
      <w:r>
        <w:rPr>
          <w:color w:val="1F2937"/>
          <w:sz w:val="22"/>
          <w:szCs w:val="22"/>
        </w:rPr>
        <w:t xml:space="preserve">Komt voor bij mensen in beheerrollen, in kleine organisaties, of bij wie recent van baan is gewisseld. Het advies is concreet: kies een lopend traject en begin vandaag met vastleggen. Doe die mededeling individueel — in een groep klinkt zij als een diskwalificatie.</w:t>
      </w:r>
    </w:p>
    <w:p>
      <w:pPr>
        <w:spacing w:after="160" w:line="276"/>
      </w:pPr>
      <w:r>
        <w:rPr>
          <w:b/>
          <w:bCs/>
          <w:color w:val="1F2937"/>
          <w:sz w:val="22"/>
          <w:szCs w:val="22"/>
        </w:rPr>
        <w:t xml:space="preserve">“Mag ik het systeem uit mijn vorige baan gebruiken?” </w:t>
      </w:r>
      <w:r>
        <w:rPr>
          <w:color w:val="1F2937"/>
          <w:sz w:val="22"/>
          <w:szCs w:val="22"/>
        </w:rPr>
        <w:t xml:space="preserve">Doorgaans wel, en de vertrouwelijkheidsvraag wordt dan zwaarder: u hebt geen toegang meer tot mensen om te reconstrueren en mogelijk geen toestemming te vragen. Toets criterium 4 en 5 extra streng.</w:t>
      </w:r>
    </w:p>
    <w:p>
      <w:pPr>
        <w:spacing w:after="160" w:line="276"/>
      </w:pPr>
      <w:r>
        <w:rPr>
          <w:b/>
          <w:bCs/>
          <w:color w:val="1F2937"/>
          <w:sz w:val="22"/>
          <w:szCs w:val="22"/>
        </w:rPr>
        <w:t xml:space="preserve">Iemand wil twee systemen combineren. </w:t>
      </w:r>
      <w:r>
        <w:rPr>
          <w:color w:val="1F2937"/>
          <w:sz w:val="22"/>
          <w:szCs w:val="22"/>
        </w:rPr>
        <w:t xml:space="preserve">Ontraden. Het levert een opdracht op waarin geen van beide diep genoeg gaat, en in het interview blijkt dat de kandidaat bij doorvragen op één systeem naar het andere uitwijkt.</w:t>
      </w:r>
    </w:p>
    <w:p>
      <w:pPr>
        <w:spacing w:after="160" w:line="276"/>
      </w:pPr>
      <w:r>
        <w:rPr>
          <w:b/>
          <w:bCs/>
          <w:color w:val="1F2937"/>
          <w:sz w:val="22"/>
          <w:szCs w:val="22"/>
        </w:rPr>
        <w:t xml:space="preserve">De groep vraagt naar de exacte omvang en vorm. </w:t>
      </w:r>
      <w:r>
        <w:rPr>
          <w:color w:val="1F2937"/>
          <w:sz w:val="22"/>
          <w:szCs w:val="22"/>
        </w:rPr>
        <w:t xml:space="preserve">Verwijs naar isaqb.org en geef geen getallen uit uw hoofd. Als u de actuele eisen hebt opgezocht vóór de cursusdag, deel dan de vindplaats en niet de samenvatting — dan controleren deelnemers zelf.</w:t>
      </w:r>
    </w:p>
    <w:p>
      <w:pPr>
        <w:spacing w:after="160" w:line="276"/>
      </w:pPr>
      <w:r>
        <w:rPr>
          <w:b/>
          <w:bCs/>
          <w:color w:val="1F2937"/>
          <w:sz w:val="22"/>
          <w:szCs w:val="22"/>
        </w:rPr>
        <w:t xml:space="preserve">Deelnemers die niet certificeren maar wel meedoen. </w:t>
      </w:r>
      <w:r>
        <w:rPr>
          <w:color w:val="1F2937"/>
          <w:sz w:val="22"/>
          <w:szCs w:val="22"/>
        </w:rPr>
        <w:t xml:space="preserve">Komt voor: sommigen volgen niveau 3 voor de inhoud. Voor hen zijn de casusdelen 23 tot en met 27 waardevol; opdracht 22.2 en 22.6 zijn dat niet. Laat hen in die opdrachten meelezen als beoordelaar bij een duopartner — dat is nuttiger dan meedoen zonder doel.</w:t>
      </w:r>
    </w:p>
    <w:p>
      <w:pPr>
        <w:pStyle w:val="Heading1"/>
        <w:pBdr>
          <w:bottom w:val="single" w:color="E5E7EB" w:sz="6" w:space="6"/>
        </w:pBdr>
        <w:spacing w:after="180" w:before="380"/>
      </w:pPr>
      <w:r>
        <w:rPr>
          <w:b/>
          <w:bCs/>
          <w:color w:val="1F3A5F"/>
          <w:sz w:val="30"/>
          <w:szCs w:val="30"/>
        </w:rPr>
        <w:t xml:space="preserve">5. Signalen om mee te nemen</w:t>
      </w:r>
    </w:p>
    <w:p>
      <w:pPr>
        <w:pStyle w:val="ListParagraph"/>
        <w:numPr>
          <w:ilvl w:val="0"/>
          <w:numId w:val="4"/>
        </w:numPr>
        <w:spacing w:after="120"/>
      </w:pPr>
      <w:r>
        <w:rPr>
          <w:color w:val="1F2937"/>
          <w:sz w:val="22"/>
          <w:szCs w:val="22"/>
        </w:rPr>
        <w:t xml:space="preserve">Wie kan bij 22.2c geen vijf beslissingen met alternatief noemen? Het systeem is ongeschikt, en dat moet nu blijken.</w:t>
      </w:r>
    </w:p>
    <w:p>
      <w:pPr>
        <w:pStyle w:val="ListParagraph"/>
        <w:numPr>
          <w:ilvl w:val="0"/>
          <w:numId w:val="4"/>
        </w:numPr>
        <w:spacing w:after="120"/>
      </w:pPr>
      <w:r>
        <w:rPr>
          <w:color w:val="1F2937"/>
          <w:sz w:val="22"/>
          <w:szCs w:val="22"/>
        </w:rPr>
        <w:t xml:space="preserve">Wie noteert bij 22.4c geen namen? Voert de gesprekken niet en komt met een opdracht zonder gereconstrueerde afwegingen.</w:t>
      </w:r>
    </w:p>
    <w:p>
      <w:pPr>
        <w:pStyle w:val="ListParagraph"/>
        <w:numPr>
          <w:ilvl w:val="0"/>
          <w:numId w:val="4"/>
        </w:numPr>
        <w:spacing w:after="120"/>
      </w:pPr>
      <w:r>
        <w:rPr>
          <w:color w:val="1F2937"/>
          <w:sz w:val="22"/>
          <w:szCs w:val="22"/>
        </w:rPr>
        <w:t xml:space="preserve">Wie heeft na dit dagdeel geen keuze gemaakt? De belangrijkste voorspeller van uitstel; spreek deze deelnemers vóór het volgende deel individueel.</w:t>
      </w:r>
    </w:p>
    <w:p>
      <w:pPr>
        <w:pStyle w:val="Heading1"/>
        <w:pBdr>
          <w:bottom w:val="single" w:color="E5E7EB" w:sz="6" w:space="6"/>
        </w:pBdr>
        <w:spacing w:after="180" w:before="380"/>
      </w:pPr>
      <w:r>
        <w:rPr>
          <w:b/>
          <w:bCs/>
          <w:color w:val="1F3A5F"/>
          <w:sz w:val="30"/>
          <w:szCs w:val="30"/>
        </w:rPr>
        <w:t xml:space="preserve">6. Benodigdheden</w:t>
      </w:r>
    </w:p>
    <w:p>
      <w:pPr>
        <w:pStyle w:val="ListParagraph"/>
        <w:numPr>
          <w:ilvl w:val="0"/>
          <w:numId w:val="5"/>
        </w:numPr>
        <w:spacing w:after="100"/>
      </w:pPr>
      <w:r>
        <w:rPr>
          <w:color w:val="1F2937"/>
          <w:sz w:val="22"/>
          <w:szCs w:val="22"/>
        </w:rPr>
        <w:t xml:space="preserve">Slidedeck deel 22</w:t>
      </w:r>
    </w:p>
    <w:p>
      <w:pPr>
        <w:pStyle w:val="ListParagraph"/>
        <w:numPr>
          <w:ilvl w:val="0"/>
          <w:numId w:val="5"/>
        </w:numPr>
        <w:spacing w:after="100"/>
      </w:pPr>
      <w:r>
        <w:rPr>
          <w:color w:val="1F2937"/>
          <w:sz w:val="22"/>
          <w:szCs w:val="22"/>
        </w:rPr>
        <w:t xml:space="preserve">Reader en werkboek, per deelnemer</w:t>
      </w:r>
    </w:p>
    <w:p>
      <w:pPr>
        <w:pStyle w:val="ListParagraph"/>
        <w:numPr>
          <w:ilvl w:val="0"/>
          <w:numId w:val="5"/>
        </w:numPr>
        <w:spacing w:after="100"/>
      </w:pPr>
      <w:r>
        <w:rPr>
          <w:color w:val="1F2937"/>
          <w:sz w:val="22"/>
          <w:szCs w:val="22"/>
        </w:rPr>
        <w:t xml:space="preserve">Bijlage CA: het overnamedossier van het tweede fonds</w:t>
      </w:r>
    </w:p>
    <w:p>
      <w:pPr>
        <w:pStyle w:val="ListParagraph"/>
        <w:numPr>
          <w:ilvl w:val="0"/>
          <w:numId w:val="5"/>
        </w:numPr>
        <w:spacing w:after="100"/>
      </w:pPr>
      <w:r>
        <w:rPr>
          <w:b/>
          <w:bCs/>
          <w:color w:val="1F2937"/>
          <w:sz w:val="22"/>
          <w:szCs w:val="22"/>
        </w:rPr>
        <w:t xml:space="preserve">Bijlage CB: drie geanonimiseerde certificeringsopdrachten</w:t>
      </w:r>
      <w:r>
        <w:rPr>
          <w:color w:val="1F2937"/>
          <w:sz w:val="22"/>
          <w:szCs w:val="22"/>
        </w:rPr>
        <w:t xml:space="preserve"> (sterk, zwak, gestrand op vorm) — het belangrijkste materiaal van dit deel</w:t>
      </w:r>
    </w:p>
    <w:p>
      <w:pPr>
        <w:pStyle w:val="ListParagraph"/>
        <w:numPr>
          <w:ilvl w:val="0"/>
          <w:numId w:val="5"/>
        </w:numPr>
        <w:spacing w:after="100"/>
      </w:pPr>
      <w:r>
        <w:rPr>
          <w:color w:val="1F2937"/>
          <w:sz w:val="22"/>
          <w:szCs w:val="22"/>
        </w:rPr>
        <w:t xml:space="preserve">Bijlage CC: inventarisatiesjabloon</w:t>
      </w:r>
    </w:p>
    <w:p>
      <w:pPr>
        <w:pStyle w:val="ListParagraph"/>
        <w:numPr>
          <w:ilvl w:val="0"/>
          <w:numId w:val="5"/>
        </w:numPr>
        <w:spacing w:after="100"/>
      </w:pPr>
      <w:r>
        <w:rPr>
          <w:color w:val="1F2937"/>
          <w:sz w:val="22"/>
          <w:szCs w:val="22"/>
        </w:rPr>
        <w:t xml:space="preserve">Bijlage CD: planningssjabloon met de acht stappen</w:t>
      </w:r>
    </w:p>
    <w:p>
      <w:pPr>
        <w:pStyle w:val="ListParagraph"/>
        <w:numPr>
          <w:ilvl w:val="0"/>
          <w:numId w:val="5"/>
        </w:numPr>
        <w:spacing w:after="100"/>
      </w:pPr>
      <w:r>
        <w:rPr>
          <w:b/>
          <w:bCs/>
          <w:color w:val="1F2937"/>
          <w:sz w:val="22"/>
          <w:szCs w:val="22"/>
        </w:rPr>
        <w:t xml:space="preserve">De actuele voorwaarden van isaqb.org, opgezocht op de dag zelf</w:t>
      </w:r>
      <w:r>
        <w:rPr>
          <w:color w:val="1F2937"/>
          <w:sz w:val="22"/>
          <w:szCs w:val="22"/>
        </w:rPr>
        <w:t xml:space="preserve"> — deel de vindplaats, niet uw samenvatting</w:t>
      </w:r>
    </w:p>
    <w:p>
      <w:pPr>
        <w:pStyle w:val="ListParagraph"/>
        <w:numPr>
          <w:ilvl w:val="0"/>
          <w:numId w:val="5"/>
        </w:numPr>
        <w:spacing w:after="100"/>
      </w:pPr>
      <w:r>
        <w:rPr>
          <w:color w:val="1F2937"/>
          <w:sz w:val="22"/>
          <w:szCs w:val="22"/>
        </w:rPr>
        <w:t xml:space="preserve">De ADR's, drijvers en herzieningsgrenzen uit niveau 1 en 2 voor het casusspoor</w:t>
      </w:r>
    </w:p>
    <w:p>
      <w:pPr>
        <w:pStyle w:val="Heading1"/>
        <w:pBdr>
          <w:bottom w:val="single" w:color="E5E7EB" w:sz="6" w:space="6"/>
        </w:pBdr>
        <w:spacing w:after="180" w:before="380"/>
      </w:pPr>
      <w:r>
        <w:rPr>
          <w:b/>
          <w:bCs/>
          <w:color w:val="1F3A5F"/>
          <w:sz w:val="30"/>
          <w:szCs w:val="30"/>
        </w:rPr>
        <w:t xml:space="preserve">7. Aansluiting op het volgende deel</w:t>
      </w:r>
    </w:p>
    <w:p>
      <w:pPr>
        <w:spacing w:after="160" w:line="276"/>
      </w:pPr>
      <w:r>
        <w:rPr>
          <w:color w:val="1F2937"/>
          <w:sz w:val="22"/>
          <w:szCs w:val="22"/>
        </w:rPr>
        <w:t xml:space="preserve">Deel 23 behandelt multi-tenancy: hoe scheidt u twee fondsen in één systeem, en hoe hard. De brug:</w:t>
      </w:r>
    </w:p>
    <w:p>
      <w:pPr>
        <w:spacing w:after="160" w:line="276"/>
      </w:pPr>
      <w:r>
        <w:rPr>
          <w:i/>
          <w:iCs/>
          <w:color w:val="1F2937"/>
          <w:sz w:val="22"/>
          <w:szCs w:val="22"/>
        </w:rPr>
        <w:t xml:space="preserve">U hebt vandaag uw systeem gekozen en afgebakend. Vanaf nu loopt uw eigen spoor mee terwijl wij de zwaarste architectuurvraag van de casus behandelen. Volgende keer de eerste: Meridiaan moet twee fondsen bedienen met gescheiden gegevens, gescheiden reglementen en gescheiden verantwoording — vanuit één systeem, want twee systemen beheren is onbetaalbaar. Er zijn drie manieren om dat te doen en zij verschillen een factor tien in kosten.</w:t>
      </w:r>
    </w:p>
    <w:p>
      <w:pPr>
        <w:pBdr>
          <w:top w:val="single" w:color="E5E7EB" w:sz="4" w:space="8"/>
        </w:pBdr>
        <w:spacing w:before="400"/>
        <w:jc w:val="center"/>
      </w:pPr>
      <w:r>
        <w:rPr>
          <w:i/>
          <w:iCs/>
          <w:color w:val="6B7280"/>
          <w:sz w:val="17"/>
          <w:szCs w:val="17"/>
        </w:rPr>
        <w:t xml:space="preserve">Ductus B.V. · Cursus Softwarearchitectuur · Niveau 3, deel 22 · Docentenhandleiding</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t xml:space="preserve">Ductus B.V.  ·  pagina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5"/>
        <w:szCs w:val="15"/>
      </w:rPr>
      <w:t xml:space="preserve">Cursus Softwarearchitectuur · Niveau 3, deel 22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abstractNum w:abstractNumId="5"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2026-08-17T19:32:40.874Z</dcterms:created>
  <dcterms:modified xsi:type="dcterms:W3CDTF">2026-08-17T19:32:40.875Z</dcterms:modified>
</cp:coreProperties>
</file>

<file path=docProps/custom.xml><?xml version="1.0" encoding="utf-8"?>
<Properties xmlns="http://schemas.openxmlformats.org/officeDocument/2006/custom-properties" xmlns:vt="http://schemas.openxmlformats.org/officeDocument/2006/docPropsVTypes"/>
</file>