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23 — Architectuur op schaal: multi-tenancy</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3 (CPSA-A certificeringstraject) · Deel 23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eerste inhoudelijke deel van niveau 3 en het is het zwaarste architectuuronderwerp van de hele reeks. Drie dingen maken het zwaar:</w:t>
      </w:r>
    </w:p>
    <w:p>
      <w:pPr>
        <w:pStyle w:val="ListParagraph"/>
        <w:numPr>
          <w:ilvl w:val="0"/>
          <w:numId w:val="2"/>
        </w:numPr>
        <w:spacing w:after="120"/>
      </w:pPr>
      <w:r>
        <w:rPr>
          <w:b/>
          <w:bCs/>
          <w:color w:val="1F2937"/>
          <w:sz w:val="22"/>
          <w:szCs w:val="22"/>
        </w:rPr>
        <w:t xml:space="preserve">Alle drie de onomkeerbare beslissingen uit deel 17 worden geraakt.</w:t>
      </w:r>
      <w:r>
        <w:rPr>
          <w:color w:val="1F2937"/>
          <w:sz w:val="22"/>
          <w:szCs w:val="22"/>
        </w:rPr>
        <w:t xml:space="preserve"> Het gebeurtenismodel, het aanleverformaat en de aggregaatgrenzen veronderstellen alle drie één fonds. Dat is geen ongeluk maar het patroon: een uitbreiding raakt de aannames die zo vanzelfsprekend waren dat niemand ze opschreef.</w:t>
      </w:r>
    </w:p>
    <w:p>
      <w:pPr>
        <w:pStyle w:val="ListParagraph"/>
        <w:numPr>
          <w:ilvl w:val="0"/>
          <w:numId w:val="2"/>
        </w:numPr>
        <w:spacing w:after="120"/>
      </w:pPr>
      <w:r>
        <w:rPr>
          <w:b/>
          <w:bCs/>
          <w:color w:val="1F2937"/>
          <w:sz w:val="22"/>
          <w:szCs w:val="22"/>
        </w:rPr>
        <w:t xml:space="preserve">De beslissende vraag is niet technisch.</w:t>
      </w:r>
      <w:r>
        <w:rPr>
          <w:color w:val="1F2937"/>
          <w:sz w:val="22"/>
          <w:szCs w:val="22"/>
        </w:rPr>
        <w:t xml:space="preserve"> Hoe hard de scheiding moet zijn, wordt bepaald door juridische en contractuele gronden. De architect stelt die vraag en beantwoordt hem niet — voor de vierde keer in deze cursus, nu op het onderwerp waar het het meest kost om het fout te doen.</w:t>
      </w:r>
    </w:p>
    <w:p>
      <w:pPr>
        <w:pStyle w:val="ListParagraph"/>
        <w:numPr>
          <w:ilvl w:val="0"/>
          <w:numId w:val="2"/>
        </w:numPr>
        <w:spacing w:after="120"/>
      </w:pPr>
      <w:r>
        <w:rPr>
          <w:b/>
          <w:bCs/>
          <w:color w:val="1F2937"/>
          <w:sz w:val="22"/>
          <w:szCs w:val="22"/>
        </w:rPr>
        <w:t xml:space="preserve">De fouten zijn niet zichtbaar tot ze duur zijn.</w:t>
      </w:r>
      <w:r>
        <w:rPr>
          <w:color w:val="1F2937"/>
          <w:sz w:val="22"/>
          <w:szCs w:val="22"/>
        </w:rPr>
        <w:t xml:space="preserve"> Een vergeten filter lekt pas als er een tweede tenant is; een uitbreidingspunt te veel maakt het systeem pas onbegrijpelijk na het derde fonds.</w:t>
      </w:r>
    </w:p>
    <w:p>
      <w:pPr>
        <w:spacing w:after="160" w:line="276"/>
      </w:pPr>
      <w:r>
        <w:rPr>
          <w:b/>
          <w:bCs/>
          <w:color w:val="1F2937"/>
          <w:sz w:val="22"/>
          <w:szCs w:val="22"/>
        </w:rPr>
        <w:t xml:space="preserve">Twee sporen bewaken.</w:t>
      </w:r>
      <w:r>
        <w:rPr>
          <w:color w:val="1F2937"/>
          <w:sz w:val="22"/>
          <w:szCs w:val="22"/>
        </w:rPr>
        <w:t xml:space="preserve"> Vanaf dit deel loopt het eigen spoor mee. Opdracht 23.7 werkt aan de certificeringsopdracht, en opdracht 23.4e levert een ADR op die deelnemers in hun eigen opdracht kunnen gebruiken. Benoem dat expliciet — het verhoogt de inzet.</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300"/>
            <w:tcMar>
              <w:top w:type="dxa" w:w="100"/>
              <w:left w:type="dxa" w:w="120"/>
              <w:bottom w:type="dxa" w:w="100"/>
              <w:right w:type="dxa" w:w="120"/>
            </w:tcMar>
            <w:vAlign w:val="center"/>
          </w:tcPr>
          <w:p>
            <w:r>
              <w:rPr>
                <w:b w:val="false"/>
                <w:bCs w:val="false"/>
                <w:color w:val="1F2937"/>
                <w:sz w:val="19"/>
                <w:szCs w:val="19"/>
              </w:rPr>
              <w:t xml:space="preserve">De vraag; waarom het systeem er niet op is ontworpen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0:15–0:35</w:t>
            </w:r>
          </w:p>
        </w:tc>
        <w:tc>
          <w:tcPr>
            <w:tcW w:type="dxa" w:w="4300"/>
            <w:tcMar>
              <w:top w:type="dxa" w:w="100"/>
              <w:left w:type="dxa" w:w="120"/>
              <w:bottom w:type="dxa" w:w="100"/>
              <w:right w:type="dxa" w:w="120"/>
            </w:tcMar>
            <w:vAlign w:val="center"/>
          </w:tcPr>
          <w:p>
            <w:r>
              <w:rPr>
                <w:b w:val="false"/>
                <w:bCs w:val="false"/>
                <w:color w:val="1F2937"/>
                <w:sz w:val="19"/>
                <w:szCs w:val="19"/>
              </w:rPr>
              <w:t xml:space="preserve">Drie vormen met hun kosten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5–7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0:35–0:55</w:t>
            </w:r>
          </w:p>
        </w:tc>
        <w:tc>
          <w:tcPr>
            <w:tcW w:type="dxa" w:w="4300"/>
            <w:tcMar>
              <w:top w:type="dxa" w:w="100"/>
              <w:left w:type="dxa" w:w="120"/>
              <w:bottom w:type="dxa" w:w="100"/>
              <w:right w:type="dxa" w:w="120"/>
            </w:tcMar>
            <w:vAlign w:val="center"/>
          </w:tcPr>
          <w:p>
            <w:r>
              <w:rPr>
                <w:b w:val="false"/>
                <w:bCs w:val="false"/>
                <w:color w:val="1F2937"/>
                <w:sz w:val="19"/>
                <w:szCs w:val="19"/>
              </w:rPr>
              <w:t xml:space="preserve">Hoe hard moet de scheiding zijn — vier gronden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8–11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0:55–1:05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1:05–1:40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23.1 — de hardheid bepalen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12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1:40–1:55</w:t>
            </w:r>
          </w:p>
        </w:tc>
        <w:tc>
          <w:tcPr>
            <w:tcW w:type="dxa" w:w="4300"/>
            <w:tcMar>
              <w:top w:type="dxa" w:w="100"/>
              <w:left w:type="dxa" w:w="120"/>
              <w:bottom w:type="dxa" w:w="100"/>
              <w:right w:type="dxa" w:w="120"/>
            </w:tcMar>
            <w:vAlign w:val="center"/>
          </w:tcPr>
          <w:p>
            <w:r>
              <w:rPr>
                <w:b w:val="false"/>
                <w:bCs w:val="false"/>
                <w:color w:val="1F2937"/>
                <w:sz w:val="19"/>
                <w:szCs w:val="19"/>
              </w:rPr>
              <w:t xml:space="preserve">Drie soorten scheiding; parametriseren of uitbreiden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13–16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1:55–2:35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23.3 — reglementsverschillen indelen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17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2:35–2:45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2:45–3:05</w:t>
            </w:r>
          </w:p>
        </w:tc>
        <w:tc>
          <w:tcPr>
            <w:tcW w:type="dxa" w:w="4300"/>
            <w:tcMar>
              <w:top w:type="dxa" w:w="100"/>
              <w:left w:type="dxa" w:w="120"/>
              <w:bottom w:type="dxa" w:w="100"/>
              <w:right w:type="dxa" w:w="120"/>
            </w:tcMar>
            <w:vAlign w:val="center"/>
          </w:tcPr>
          <w:p>
            <w:r>
              <w:rPr>
                <w:b w:val="false"/>
                <w:bCs w:val="false"/>
                <w:color w:val="1F2937"/>
                <w:sz w:val="19"/>
                <w:szCs w:val="19"/>
              </w:rPr>
              <w:t xml:space="preserve">Invoeren in een bestaand systeem; het gebeurtenisprobleem</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18–22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3:05–3:35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23.5 — de 61 vindplaatsen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3:35–3:50</w:t>
            </w:r>
          </w:p>
        </w:tc>
        <w:tc>
          <w:tcPr>
            <w:tcW w:type="dxa" w:w="4300"/>
            <w:tcMar>
              <w:top w:type="dxa" w:w="100"/>
              <w:left w:type="dxa" w:w="120"/>
              <w:bottom w:type="dxa" w:w="100"/>
              <w:right w:type="dxa" w:w="120"/>
            </w:tcMar>
            <w:vAlign w:val="center"/>
          </w:tcPr>
          <w:p>
            <w:r>
              <w:rPr>
                <w:b w:val="false"/>
                <w:bCs w:val="false"/>
                <w:color w:val="1F2937"/>
                <w:sz w:val="19"/>
                <w:szCs w:val="19"/>
              </w:rPr>
              <w:t xml:space="preserve">Wat breekt bij de derde tenant; de afweging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24–27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300"/>
            <w:tcMar>
              <w:top w:type="dxa" w:w="100"/>
              <w:left w:type="dxa" w:w="120"/>
              <w:bottom w:type="dxa" w:w="100"/>
              <w:right w:type="dxa" w:w="120"/>
            </w:tcMar>
            <w:vAlign w:val="center"/>
          </w:tcPr>
          <w:p>
            <w:r>
              <w:rPr>
                <w:b w:val="false"/>
                <w:bCs w:val="false"/>
                <w:color w:val="1F2937"/>
                <w:sz w:val="19"/>
                <w:szCs w:val="19"/>
              </w:rPr>
              <w:t xml:space="preserve">Huiswerk eigen spoor</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28</w:t>
            </w:r>
          </w:p>
        </w:tc>
      </w:tr>
    </w:tbl>
    <w:p>
      <w:pPr>
        <w:spacing w:after="300"/>
      </w:pPr>
    </w:p>
    <w:p>
      <w:pPr>
        <w:spacing w:after="160" w:line="276"/>
      </w:pPr>
      <w:r>
        <w:rPr>
          <w:b/>
          <w:bCs/>
          <w:color w:val="1F2937"/>
          <w:sz w:val="22"/>
          <w:szCs w:val="22"/>
        </w:rPr>
        <w:t xml:space="preserve">Opdracht 23.2 (de vorm kiezen), 23.4 (het gebeurtenisprobleem) en 23.6 (de derde tenant) staan niet in de planning.</w:t>
      </w:r>
      <w:r>
        <w:rPr>
          <w:color w:val="1F2937"/>
          <w:sz w:val="22"/>
          <w:szCs w:val="22"/>
        </w:rPr>
        <w:t xml:space="preserve"> Keuzes:</w:t>
      </w:r>
    </w:p>
    <w:p>
      <w:pPr>
        <w:pStyle w:val="ListParagraph"/>
        <w:numPr>
          <w:ilvl w:val="0"/>
          <w:numId w:val="3"/>
        </w:numPr>
        <w:spacing w:after="100"/>
      </w:pPr>
      <w:r>
        <w:rPr>
          <w:b/>
          <w:bCs/>
          <w:color w:val="1F2937"/>
          <w:sz w:val="22"/>
          <w:szCs w:val="22"/>
        </w:rPr>
        <w:t xml:space="preserve">Doe 23.4 in plaats van 23.5</w:t>
      </w:r>
      <w:r>
        <w:rPr>
          <w:color w:val="1F2937"/>
          <w:sz w:val="22"/>
          <w:szCs w:val="22"/>
        </w:rPr>
        <w:t xml:space="preserve"> bij groepen die met event sourcing werken; het levert een ADR op die zij in hun eigen opdracht kunnen gebruiken, en dat is voor het certificeringstraject waardevoller.</w:t>
      </w:r>
    </w:p>
    <w:p>
      <w:pPr>
        <w:pStyle w:val="ListParagraph"/>
        <w:numPr>
          <w:ilvl w:val="0"/>
          <w:numId w:val="3"/>
        </w:numPr>
        <w:spacing w:after="100"/>
      </w:pPr>
      <w:r>
        <w:rPr>
          <w:b/>
          <w:bCs/>
          <w:color w:val="1F2937"/>
          <w:sz w:val="22"/>
          <w:szCs w:val="22"/>
        </w:rPr>
        <w:t xml:space="preserve">Doe 23.2</w:t>
      </w:r>
      <w:r>
        <w:rPr>
          <w:color w:val="1F2937"/>
          <w:sz w:val="22"/>
          <w:szCs w:val="22"/>
        </w:rPr>
        <w:t xml:space="preserve"> bij groepen die zelf voor een vormkeuze staan in hun werk; onderdeel c) (waar kruisen de kostenlijnen) is direct toepasbaar.</w:t>
      </w:r>
    </w:p>
    <w:p>
      <w:pPr>
        <w:pStyle w:val="ListParagraph"/>
        <w:numPr>
          <w:ilvl w:val="0"/>
          <w:numId w:val="3"/>
        </w:numPr>
        <w:spacing w:after="100"/>
      </w:pPr>
      <w:r>
        <w:rPr>
          <w:b/>
          <w:bCs/>
          <w:color w:val="1F2937"/>
          <w:sz w:val="22"/>
          <w:szCs w:val="22"/>
        </w:rPr>
        <w:t xml:space="preserve">Doe 23.6 als afsluiting van tien minuten</w:t>
      </w:r>
      <w:r>
        <w:rPr>
          <w:color w:val="1F2937"/>
          <w:sz w:val="22"/>
          <w:szCs w:val="22"/>
        </w:rPr>
        <w:t xml:space="preserve"> als de tijd het toelaat — de vraag “wat gebeurt hier bij tenant drie” is de goedkoopste kwaliteitsmaatregel van dit deel.</w:t>
      </w:r>
    </w:p>
    <w:p>
      <w:pPr>
        <w:spacing w:after="160" w:line="276"/>
      </w:pPr>
      <w:r>
        <w:rPr>
          <w:b/>
          <w:bCs/>
          <w:color w:val="1F2937"/>
          <w:sz w:val="22"/>
          <w:szCs w:val="22"/>
        </w:rPr>
        <w:t xml:space="preserve">Wat u nooit inkort: </w:t>
      </w:r>
      <w:r>
        <w:rPr>
          <w:color w:val="1F2937"/>
          <w:sz w:val="22"/>
          <w:szCs w:val="22"/>
        </w:rPr>
        <w:t xml:space="preserve">opdracht 23.3. De verhouding tussen parametriseerbaar en uitbreidingspunt bepaalt de vormkeuze, en het onderscheid tussen echt gedrag en verkapte waarden is de vaardigheid die deelnemers meenemen.</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De vraag (slides 2–4)</w:t>
      </w:r>
    </w:p>
    <w:p>
      <w:pPr>
        <w:spacing w:after="160" w:line="276"/>
      </w:pPr>
      <w:r>
        <w:rPr>
          <w:b/>
          <w:bCs/>
          <w:color w:val="1F2937"/>
          <w:sz w:val="22"/>
          <w:szCs w:val="22"/>
        </w:rPr>
        <w:t xml:space="preserve">Slide 3 en 4 horen bij elkaar en de volgorde doet ertoe.</w:t>
      </w:r>
      <w:r>
        <w:rPr>
          <w:color w:val="1F2937"/>
          <w:sz w:val="22"/>
          <w:szCs w:val="22"/>
        </w:rPr>
        <w:t xml:space="preserve"> Eerst de constatering dat de aanname overal zit, dan de nuance dat het geen ontwerpfout is.</w:t>
      </w:r>
    </w:p>
    <w:p>
      <w:pPr>
        <w:spacing w:after="160" w:line="276"/>
      </w:pPr>
      <w:r>
        <w:rPr>
          <w:b/>
          <w:bCs/>
          <w:color w:val="1F2937"/>
          <w:sz w:val="22"/>
          <w:szCs w:val="22"/>
        </w:rPr>
        <w:t xml:space="preserve">Zonder slide 4 wordt dit deel een aanklacht </w:t>
      </w:r>
      <w:r>
        <w:rPr>
          <w:color w:val="1F2937"/>
          <w:sz w:val="22"/>
          <w:szCs w:val="22"/>
        </w:rPr>
        <w:t xml:space="preserve">tegen de architect uit niveau 2 — die de deelnemers zelf waren. Het onderscheid uit deel 9 (ontwerpfout tegenover gerealiseerd risico) is hier het instrument: er wás één fonds, en ontwerpen voor meerdere zou speculatief zijn geweest.</w:t>
      </w:r>
    </w:p>
    <w:p>
      <w:pPr>
        <w:spacing w:after="160" w:line="276"/>
      </w:pPr>
      <w:r>
        <w:rPr>
          <w:color w:val="1F2937"/>
          <w:sz w:val="22"/>
          <w:szCs w:val="22"/>
        </w:rPr>
        <w:t xml:space="preserve">Vraag de groep of zij het anders zouden hebben gedaan. Het eerlijke antwoord is nee, en dat is precies het punt.</w:t>
      </w:r>
    </w:p>
    <w:p>
      <w:pPr>
        <w:pStyle w:val="Heading2"/>
        <w:spacing w:after="140" w:before="260"/>
      </w:pPr>
      <w:r>
        <w:rPr>
          <w:b/>
          <w:bCs/>
          <w:color w:val="4A6789"/>
          <w:sz w:val="24"/>
          <w:szCs w:val="24"/>
        </w:rPr>
        <w:t xml:space="preserve">3.2 Drie vormen (slides 5–7)</w:t>
      </w:r>
    </w:p>
    <w:p>
      <w:pPr>
        <w:spacing w:after="160" w:line="276"/>
      </w:pPr>
      <w:r>
        <w:rPr>
          <w:b/>
          <w:bCs/>
          <w:color w:val="1F2937"/>
          <w:sz w:val="22"/>
          <w:szCs w:val="22"/>
        </w:rPr>
        <w:t xml:space="preserve">Houd dit compact </w:t>
      </w:r>
      <w:r>
        <w:rPr>
          <w:color w:val="1F2937"/>
          <w:sz w:val="22"/>
          <w:szCs w:val="22"/>
        </w:rPr>
        <w:t xml:space="preserve">— de vormen zijn intuïtief. De tijd zit in de hardheidsvraag.</w:t>
      </w:r>
    </w:p>
    <w:p>
      <w:pPr>
        <w:spacing w:after="160" w:line="276"/>
      </w:pPr>
      <w:r>
        <w:rPr>
          <w:b/>
          <w:bCs/>
          <w:color w:val="1F2937"/>
          <w:sz w:val="22"/>
          <w:szCs w:val="22"/>
        </w:rPr>
        <w:t xml:space="preserve">Het punt dat u wilt vestigen: </w:t>
      </w:r>
      <w:r>
        <w:rPr>
          <w:color w:val="1F2937"/>
          <w:sz w:val="22"/>
          <w:szCs w:val="22"/>
        </w:rPr>
        <w:t xml:space="preserve">de tussenvormen zijn in de praktijk het interessantst, en de zuivere vormen komen zelden voor. Deelnemers die denken in drie hokjes, kiezen te vroeg.</w:t>
      </w:r>
    </w:p>
    <w:p>
      <w:pPr>
        <w:pStyle w:val="Heading2"/>
        <w:spacing w:after="140" w:before="260"/>
      </w:pPr>
      <w:r>
        <w:rPr>
          <w:b/>
          <w:bCs/>
          <w:color w:val="4A6789"/>
          <w:sz w:val="24"/>
          <w:szCs w:val="24"/>
        </w:rPr>
        <w:t xml:space="preserve">3.3 De hardheidsvraag (slides 8–12)</w:t>
      </w:r>
    </w:p>
    <w:p>
      <w:pPr>
        <w:spacing w:after="160" w:line="276"/>
      </w:pPr>
      <w:r>
        <w:rPr>
          <w:b/>
          <w:bCs/>
          <w:color w:val="1F2937"/>
          <w:sz w:val="22"/>
          <w:szCs w:val="22"/>
        </w:rPr>
        <w:t xml:space="preserve">Dit is het inhoudelijke zwaartepunt van de eerste helft.</w:t>
      </w:r>
      <w:r>
        <w:rPr>
          <w:color w:val="1F2937"/>
          <w:sz w:val="22"/>
          <w:szCs w:val="22"/>
        </w:rPr>
        <w:t xml:space="preserve"/>
      </w:r>
    </w:p>
    <w:p>
      <w:pPr>
        <w:spacing w:after="160" w:line="276"/>
      </w:pPr>
      <w:r>
        <w:rPr>
          <w:b/>
          <w:bCs/>
          <w:color w:val="1F2937"/>
          <w:sz w:val="22"/>
          <w:szCs w:val="22"/>
        </w:rPr>
        <w:t xml:space="preserve">Slide 9 is de rolverdeling </w:t>
      </w:r>
      <w:r>
        <w:rPr>
          <w:color w:val="1F2937"/>
          <w:sz w:val="22"/>
          <w:szCs w:val="22"/>
        </w:rPr>
        <w:t xml:space="preserve">en zij is de vierde herhaling van hetzelfde patroon (deel 14 verwijderrecht, deel 15 dienstniveaudoelen, deel 16 functiescheiding, nu scheidingshardheid). Benoem dat het een patroon is — deelnemers zien het inmiddels aankomen, en dat is de bedoeling.</w:t>
      </w:r>
    </w:p>
    <w:p>
      <w:pPr>
        <w:spacing w:after="160" w:line="276"/>
      </w:pPr>
      <w:r>
        <w:rPr>
          <w:b/>
          <w:bCs/>
          <w:color w:val="1F2937"/>
          <w:sz w:val="22"/>
          <w:szCs w:val="22"/>
        </w:rPr>
        <w:t xml:space="preserve">Slide 10 en 11 zijn beide nodig.</w:t>
      </w:r>
      <w:r>
        <w:rPr>
          <w:color w:val="1F2937"/>
          <w:sz w:val="22"/>
          <w:szCs w:val="22"/>
        </w:rPr>
        <w:t xml:space="preserve"> Wie alleen slide 10 hoort, kiest te licht; wie alleen slide 11 hoort, kiest te zwaar. De vaardigheid is het onderscheid.</w:t>
      </w:r>
    </w:p>
    <w:p>
      <w:pPr>
        <w:spacing w:after="160" w:line="276"/>
      </w:pPr>
      <w:r>
        <w:rPr>
          <w:b/>
          <w:bCs/>
          <w:color w:val="1F2937"/>
          <w:sz w:val="22"/>
          <w:szCs w:val="22"/>
        </w:rPr>
        <w:t xml:space="preserve">Opdracht 23.1, plenair bij c) en d).</w:t>
      </w:r>
      <w:r>
        <w:rPr>
          <w:color w:val="1F2937"/>
          <w:sz w:val="22"/>
          <w:szCs w:val="22"/>
        </w:rPr>
        <w:t xml:space="preserve"/>
      </w:r>
    </w:p>
    <w:p>
      <w:pPr>
        <w:spacing w:after="160" w:line="276"/>
      </w:pPr>
      <w:r>
        <w:rPr>
          <w:color w:val="1F2937"/>
          <w:sz w:val="22"/>
          <w:szCs w:val="22"/>
        </w:rPr>
        <w:t xml:space="preserve">Bij c) laat u twee groepen hun vijf zinnen voorlezen. De toets: staan de kosten erin, en is de vraag teruggelegd? Antwoorden die uitsluitend uitleggen waarom fysieke scheiding onnodig is, missen het punt — de directie vroeg niet om een oordeel maar om een afweging.</w:t>
      </w:r>
    </w:p>
    <w:p>
      <w:pPr>
        <w:spacing w:after="160" w:line="276"/>
      </w:pPr>
      <w:r>
        <w:rPr>
          <w:b/>
          <w:bCs/>
          <w:color w:val="1F2937"/>
          <w:sz w:val="22"/>
          <w:szCs w:val="22"/>
        </w:rPr>
        <w:t xml:space="preserve">Bij d) is de valkuil dat deelnemers het bestuur van fonds B willen overtuigen.</w:t>
      </w:r>
      <w:r>
        <w:rPr>
          <w:color w:val="1F2937"/>
          <w:sz w:val="22"/>
          <w:szCs w:val="22"/>
        </w:rPr>
        <w:t xml:space="preserve"> Dat is niet hun gesprek, en het is bovendien niet gezegd dat de eis onredelijk is: een fondsbestuur kan gronden hebben die de architect niet kent. Wat de architect wel doet, is de kosten kwantificeren zodat de directie weet wat zij weggeeft.</w:t>
      </w:r>
    </w:p>
    <w:p>
      <w:pPr>
        <w:pStyle w:val="Heading2"/>
        <w:spacing w:after="140" w:before="260"/>
      </w:pPr>
      <w:r>
        <w:rPr>
          <w:b/>
          <w:bCs/>
          <w:color w:val="4A6789"/>
          <w:sz w:val="24"/>
          <w:szCs w:val="24"/>
        </w:rPr>
        <w:t xml:space="preserve">3.4 Soorten scheiding en opdracht 23.3 (slides 13–17, 55 minuten)</w:t>
      </w:r>
    </w:p>
    <w:p>
      <w:pPr>
        <w:spacing w:after="160" w:line="276"/>
      </w:pPr>
      <w:r>
        <w:rPr>
          <w:b/>
          <w:bCs/>
          <w:color w:val="1F2937"/>
          <w:sz w:val="22"/>
          <w:szCs w:val="22"/>
        </w:rPr>
        <w:t xml:space="preserve">Slide 14, tweede punt: </w:t>
      </w:r>
      <w:r>
        <w:rPr>
          <w:color w:val="1F2937"/>
          <w:sz w:val="22"/>
          <w:szCs w:val="22"/>
        </w:rPr>
        <w:t xml:space="preserve">scheiding van gedrag is de zwaarste en zij wordt niet opgelost met opslagscheiding. Deelnemers die vorm 1 kiezen “omdat dat alles oplost”, missen dit — gescheiden installaties scheiden gegevens, niet gedrag, want de code is dezelfde.</w:t>
      </w:r>
    </w:p>
    <w:p>
      <w:pPr>
        <w:spacing w:after="160" w:line="276"/>
      </w:pPr>
      <w:r>
        <w:rPr>
          <w:b/>
          <w:bCs/>
          <w:color w:val="1F2937"/>
          <w:sz w:val="22"/>
          <w:szCs w:val="22"/>
        </w:rPr>
        <w:t xml:space="preserve">Slide 16 is de waarschuwing </w:t>
      </w:r>
      <w:r>
        <w:rPr>
          <w:color w:val="1F2937"/>
          <w:sz w:val="22"/>
          <w:szCs w:val="22"/>
        </w:rPr>
        <w:t xml:space="preserve">en zij verbindt terug naar deel 5: veertig onbegrepen uitbreidingspunten is de moderne modderbal.</w:t>
      </w:r>
    </w:p>
    <w:p>
      <w:pPr>
        <w:spacing w:after="160" w:line="276"/>
      </w:pPr>
      <w:r>
        <w:rPr>
          <w:b/>
          <w:bCs/>
          <w:color w:val="1F2937"/>
          <w:sz w:val="22"/>
          <w:szCs w:val="22"/>
        </w:rPr>
        <w:t xml:space="preserve">Opdracht 23.3, twee interventies:</w:t>
      </w:r>
      <w:r>
        <w:rPr>
          <w:color w:val="1F2937"/>
          <w:sz w:val="22"/>
          <w:szCs w:val="22"/>
        </w:rPr>
        <w:t xml:space="preserve"/>
      </w:r>
    </w:p>
    <w:p>
      <w:pPr>
        <w:pStyle w:val="ListParagraph"/>
        <w:numPr>
          <w:ilvl w:val="0"/>
          <w:numId w:val="4"/>
        </w:numPr>
        <w:spacing w:after="120"/>
      </w:pPr>
      <w:r>
        <w:rPr>
          <w:b/>
          <w:bCs/>
          <w:color w:val="1F2937"/>
          <w:sz w:val="22"/>
          <w:szCs w:val="22"/>
        </w:rPr>
        <w:t xml:space="preserve">Te veel in de categorie uitbreidingspunt.</w:t>
      </w:r>
      <w:r>
        <w:rPr>
          <w:color w:val="1F2937"/>
          <w:sz w:val="22"/>
          <w:szCs w:val="22"/>
        </w:rPr>
        <w:t xml:space="preserve"> Dit gebeurt bij vrijwel elke groep, en de reden staat in de reader: uitbreidingspunten voelen veiliger. Vraag per geval: zit het verschil in wat er gebeurt, of in met welke waarde het gebeurt?</w:t>
      </w:r>
    </w:p>
    <w:p>
      <w:pPr>
        <w:pStyle w:val="ListParagraph"/>
        <w:numPr>
          <w:ilvl w:val="0"/>
          <w:numId w:val="4"/>
        </w:numPr>
        <w:spacing w:after="120"/>
      </w:pPr>
      <w:r>
        <w:rPr>
          <w:b/>
          <w:bCs/>
          <w:color w:val="1F2937"/>
          <w:sz w:val="22"/>
          <w:szCs w:val="22"/>
        </w:rPr>
        <w:t xml:space="preserve">Onderdeel d) wordt overgeslagen.</w:t>
      </w:r>
      <w:r>
        <w:rPr>
          <w:color w:val="1F2937"/>
          <w:sz w:val="22"/>
          <w:szCs w:val="22"/>
        </w:rPr>
        <w:t xml:space="preserve"> De drie schijngevallen zijn de kern van de opdracht — een afwijkende termijn, een andere afrondingsregel, en een extra controle die feitelijk een drempel op nul is.</w:t>
      </w:r>
    </w:p>
    <w:p>
      <w:pPr>
        <w:spacing w:after="160" w:line="276"/>
      </w:pPr>
      <w:r>
        <w:rPr>
          <w:b/>
          <w:bCs/>
          <w:color w:val="1F2937"/>
          <w:sz w:val="22"/>
          <w:szCs w:val="22"/>
        </w:rPr>
        <w:t xml:space="preserve">Plenair bij b) en e).</w:t>
      </w:r>
      <w:r>
        <w:rPr>
          <w:color w:val="1F2937"/>
          <w:sz w:val="22"/>
          <w:szCs w:val="22"/>
        </w:rPr>
        <w:t xml:space="preserve"> De verhouding (ruwweg 20 / 11 / 3) bepaalt de vormkeuze: met driekwart parametriseerbaar is gedeelde code verdedigbaar. Was het omgekeerd, dan deelt u vooral problemen.</w:t>
      </w:r>
    </w:p>
    <w:p>
      <w:pPr>
        <w:spacing w:after="160" w:line="276"/>
      </w:pPr>
      <w:r>
        <w:rPr>
          <w:color w:val="1F2937"/>
          <w:sz w:val="22"/>
          <w:szCs w:val="22"/>
        </w:rPr>
        <w:t xml:space="preserve">Bij e) is de bewaking het antwoord: een uitbreidingspunt zonder ADR mag niet bestaan, en dat is de automatiseerbare aanleiding uit deel 17.</w:t>
      </w:r>
    </w:p>
    <w:p>
      <w:pPr>
        <w:pStyle w:val="Heading2"/>
        <w:spacing w:after="140" w:before="260"/>
      </w:pPr>
      <w:r>
        <w:rPr>
          <w:b/>
          <w:bCs/>
          <w:color w:val="4A6789"/>
          <w:sz w:val="24"/>
          <w:szCs w:val="24"/>
        </w:rPr>
        <w:t xml:space="preserve">3.5 Invoeren in een bestaand systeem (slides 18–23)</w:t>
      </w:r>
    </w:p>
    <w:p>
      <w:pPr>
        <w:spacing w:after="160" w:line="276"/>
      </w:pPr>
      <w:r>
        <w:rPr>
          <w:b/>
          <w:bCs/>
          <w:color w:val="1F2937"/>
          <w:sz w:val="22"/>
          <w:szCs w:val="22"/>
        </w:rPr>
        <w:t xml:space="preserve">Slide 20 is het scherpste technische probleem van het deel </w:t>
      </w:r>
      <w:r>
        <w:rPr>
          <w:color w:val="1F2937"/>
          <w:sz w:val="22"/>
          <w:szCs w:val="22"/>
        </w:rPr>
        <w:t xml:space="preserve">en het is de terugbetaling van deel 14. De versiëringsregels — gebeurtenissen zijn onveranderlijk, nieuwe velden optioneel, betekeniswijziging is een nieuw type — leken daar theoretisch. Hier is het geval waarvoor zij bestaan.</w:t>
      </w:r>
    </w:p>
    <w:p>
      <w:pPr>
        <w:spacing w:after="160" w:line="276"/>
      </w:pPr>
      <w:r>
        <w:rPr>
          <w:color w:val="1F2937"/>
          <w:sz w:val="22"/>
          <w:szCs w:val="22"/>
        </w:rPr>
        <w:t xml:space="preserve">Benoem dat: dit is de reden dat deel 14 zoveel aandacht besteedde aan iets wat toen abstract leek.</w:t>
      </w:r>
    </w:p>
    <w:p>
      <w:pPr>
        <w:spacing w:after="160" w:line="276"/>
      </w:pPr>
      <w:r>
        <w:rPr>
          <w:b/>
          <w:bCs/>
          <w:color w:val="1F2937"/>
          <w:sz w:val="22"/>
          <w:szCs w:val="22"/>
        </w:rPr>
        <w:t xml:space="preserve">Slide 21 en 22 horen bij elkaar.</w:t>
      </w:r>
      <w:r>
        <w:rPr>
          <w:color w:val="1F2937"/>
          <w:sz w:val="22"/>
          <w:szCs w:val="22"/>
        </w:rPr>
        <w:t xml:space="preserve"> Slide 22 is het contra-intuïtieve deel: de gevaarlijkste plaatsen zijn rapportages en batches, niet de query's in de gebruikersstroom. De redenering — zij draaien buiten een gebruikerscontext, dus moet iemand het fonds expliciet meegeven — is de verklaring, en het gevolg is dat een lek daar geen dossier maar een bestand is.</w:t>
      </w:r>
    </w:p>
    <w:p>
      <w:pPr>
        <w:spacing w:after="160" w:line="276"/>
      </w:pPr>
      <w:r>
        <w:rPr>
          <w:b/>
          <w:bCs/>
          <w:color w:val="1F2937"/>
          <w:sz w:val="22"/>
          <w:szCs w:val="22"/>
        </w:rPr>
        <w:t xml:space="preserve">Opdracht 23.5, plenair bij c) en e).</w:t>
      </w:r>
      <w:r>
        <w:rPr>
          <w:color w:val="1F2937"/>
          <w:sz w:val="22"/>
          <w:szCs w:val="22"/>
        </w:rPr>
        <w:t xml:space="preserve"/>
      </w:r>
    </w:p>
    <w:p>
      <w:pPr>
        <w:spacing w:after="160" w:line="276"/>
      </w:pPr>
      <w:r>
        <w:rPr>
          <w:color w:val="1F2937"/>
          <w:sz w:val="22"/>
          <w:szCs w:val="22"/>
        </w:rPr>
        <w:t xml:space="preserve">Bij c) is het verschil tussen een parameter en een contextwaarde het hele antwoord. Groepen die “we spreken af dat iedereen filtert” voorstellen, zitten op borgingslaag 4.</w:t>
      </w:r>
    </w:p>
    <w:p>
      <w:pPr>
        <w:spacing w:after="160" w:line="276"/>
      </w:pPr>
      <w:r>
        <w:rPr>
          <w:color w:val="1F2937"/>
          <w:sz w:val="22"/>
          <w:szCs w:val="22"/>
        </w:rPr>
        <w:t xml:space="preserve">Bij f) is de verantwoording het punt: met bekende openstaande vindplaatsen live gaan is een bewuste keuze die in een ADR hoort. Dat is de opmaat naar deel 26.</w:t>
      </w:r>
    </w:p>
    <w:p>
      <w:pPr>
        <w:pStyle w:val="Heading2"/>
        <w:spacing w:after="140" w:before="260"/>
      </w:pPr>
      <w:r>
        <w:rPr>
          <w:b/>
          <w:bCs/>
          <w:color w:val="4A6789"/>
          <w:sz w:val="24"/>
          <w:szCs w:val="24"/>
        </w:rPr>
        <w:t xml:space="preserve">3.6 De derde tenant en de afweging (slides 24–28)</w:t>
      </w:r>
    </w:p>
    <w:p>
      <w:pPr>
        <w:spacing w:after="160" w:line="276"/>
      </w:pPr>
      <w:r>
        <w:rPr>
          <w:b/>
          <w:bCs/>
          <w:color w:val="1F2937"/>
          <w:sz w:val="22"/>
          <w:szCs w:val="22"/>
        </w:rPr>
        <w:t xml:space="preserve">Slide 25, tweede punt </w:t>
      </w:r>
      <w:r>
        <w:rPr>
          <w:color w:val="1F2937"/>
          <w:sz w:val="22"/>
          <w:szCs w:val="22"/>
        </w:rPr>
        <w:t xml:space="preserve">is het meest onderschat: gedeelde stamgegevens die fondsspecifiek blijken, zijn de reden dat tenant drie duurder is dan tenant twee.</w:t>
      </w:r>
    </w:p>
    <w:p>
      <w:pPr>
        <w:spacing w:after="160" w:line="276"/>
      </w:pPr>
      <w:r>
        <w:rPr>
          <w:b/>
          <w:bCs/>
          <w:color w:val="1F2937"/>
          <w:sz w:val="22"/>
          <w:szCs w:val="22"/>
        </w:rPr>
        <w:t xml:space="preserve">Slide 26 is de goedkoopste kwaliteitsmaatregel van het deel: </w:t>
      </w:r>
      <w:r>
        <w:rPr>
          <w:color w:val="1F2937"/>
          <w:sz w:val="22"/>
          <w:szCs w:val="22"/>
        </w:rPr>
        <w:t xml:space="preserve">plan de derde terwijl u de tweede bouwt, door bij elke keuze de vraag te stellen. Dat kost niets en het maakt verstopte aannames zichtbaar wanneer zij goedkoop te repareren zijn.</w:t>
      </w:r>
    </w:p>
    <w:p>
      <w:pPr>
        <w:spacing w:after="160" w:line="276"/>
      </w:pPr>
      <w:r>
        <w:rPr>
          <w:b/>
          <w:bCs/>
          <w:color w:val="1F2937"/>
          <w:sz w:val="22"/>
          <w:szCs w:val="22"/>
        </w:rPr>
        <w:t xml:space="preserve">Slide 28, eerste twee punten </w:t>
      </w:r>
      <w:r>
        <w:rPr>
          <w:color w:val="1F2937"/>
          <w:sz w:val="22"/>
          <w:szCs w:val="22"/>
        </w:rPr>
        <w:t xml:space="preserve">zijn het beoordelingspunt uit deel 10 en 19: wat wordt hierdoor duur, en wie betaalt het? Het antwoord — elke uitrol vraagt afstemming met twee fondsbesturen, betaald door de operatie — is precies de niet-technische prijs waarnaar een examinator vraagt.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“Wij hebben geen multi-tenancy.”</w:t>
      </w:r>
      <w:r>
        <w:rPr>
          <w:color w:val="1F2937"/>
          <w:sz w:val="22"/>
          <w:szCs w:val="22"/>
        </w:rPr>
        <w:t xml:space="preserve"> Veel deelnemers werken aan interne systemen met één organisatie. Het onderwerp blijft relevant: elke uitbreiding naar een tweede land, tweede merk, tweede juridische entiteit of tweede administratie is dezelfde vraag. Opdracht 23.7b is daarvoor de brug — zoek de aanname die zo vanzelfsprekend was dat zij nergens staat.</w:t>
      </w:r>
    </w:p>
    <w:p>
      <w:pPr>
        <w:spacing w:after="160" w:line="276"/>
      </w:pPr>
      <w:r>
        <w:rPr>
          <w:b/>
          <w:bCs/>
          <w:color w:val="1F2937"/>
          <w:sz w:val="22"/>
          <w:szCs w:val="22"/>
        </w:rPr>
        <w:t xml:space="preserve">De discussie over “gewoon alles scheiden”.</w:t>
      </w:r>
      <w:r>
        <w:rPr>
          <w:color w:val="1F2937"/>
          <w:sz w:val="22"/>
          <w:szCs w:val="22"/>
        </w:rPr>
        <w:t xml:space="preserve"> Komt bij vrijwel elke groep. Het weerwoord is slide 10, met getallen: onnodige fysieke scheiding kost bij elke wijziging, elke storing en elke uitrol. Vraag hoeveel uitrollen zij per jaar doen en vermenigvuldig.</w:t>
      </w:r>
    </w:p>
    <w:p>
      <w:pPr>
        <w:spacing w:after="160" w:line="276"/>
      </w:pPr>
      <w:r>
        <w:rPr>
          <w:b/>
          <w:bCs/>
          <w:color w:val="1F2937"/>
          <w:sz w:val="22"/>
          <w:szCs w:val="22"/>
        </w:rPr>
        <w:t xml:space="preserve">Iemand kent een geval waarin volledig gedeeld tot een lek leidde.</w:t>
      </w:r>
      <w:r>
        <w:rPr>
          <w:color w:val="1F2937"/>
          <w:sz w:val="22"/>
          <w:szCs w:val="22"/>
        </w:rPr>
        <w:t xml:space="preserve"> Waardevol; laat het vertellen. Het bevestigt slide 11 en het maakt slide 21 (onvermijdelijk versus controleerbaar) concreet.</w:t>
      </w:r>
    </w:p>
    <w:p>
      <w:pPr>
        <w:spacing w:after="160" w:line="276"/>
      </w:pPr>
      <w:r>
        <w:rPr>
          <w:b/>
          <w:bCs/>
          <w:color w:val="1F2937"/>
          <w:sz w:val="22"/>
          <w:szCs w:val="22"/>
        </w:rPr>
        <w:t xml:space="preserve">De juridische discussie loopt uit.</w:t>
      </w:r>
      <w:r>
        <w:rPr>
          <w:color w:val="1F2937"/>
          <w:sz w:val="22"/>
          <w:szCs w:val="22"/>
        </w:rPr>
        <w:t xml:space="preserve"> Bewaak de grens: wij behandelen de architectuurgevolgen van een juridisch antwoord, niet het juridische antwoord zelf. Als de groep de juridische vraag wil beslechten, is dat een teken dat er in hun organisatie geen duidelijkheid over is — bruikbare informatie voor hen, geen cursusonderwerp.</w:t>
      </w:r>
    </w:p>
    <w:p>
      <w:pPr>
        <w:spacing w:after="160" w:line="276"/>
      </w:pPr>
      <w:r>
        <w:rPr>
          <w:b/>
          <w:bCs/>
          <w:color w:val="1F2937"/>
          <w:sz w:val="22"/>
          <w:szCs w:val="22"/>
        </w:rPr>
        <w:t xml:space="preserve">Deelnemers willen een absoluut aantal uitbreidingspunten.</w:t>
      </w:r>
      <w:r>
        <w:rPr>
          <w:color w:val="1F2937"/>
          <w:sz w:val="22"/>
          <w:szCs w:val="22"/>
        </w:rPr>
        <w:t xml:space="preserve"> Er is er geen, en dat moet u zeggen. Wat er wel is: een bewakingsregel (geen uitbreidingspunt zonder ADR) en een terugkerende vraag (kan dit een parameter zijn?).</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color w:val="1F2937"/>
          <w:sz w:val="22"/>
          <w:szCs w:val="22"/>
        </w:rPr>
        <w:t xml:space="preserve">Wie kiest de vorm voordat de hardheidsvraag beantwoord is? Neemt een juridisch besluit als architect — het patroon uit deel 14, 15, 16 en 20.</w:t>
      </w:r>
    </w:p>
    <w:p>
      <w:pPr>
        <w:pStyle w:val="ListParagraph"/>
        <w:numPr>
          <w:ilvl w:val="0"/>
          <w:numId w:val="5"/>
        </w:numPr>
        <w:spacing w:after="120"/>
      </w:pPr>
      <w:r>
        <w:rPr>
          <w:color w:val="1F2937"/>
          <w:sz w:val="22"/>
          <w:szCs w:val="22"/>
        </w:rPr>
        <w:t xml:space="preserve">Wie deelt in opdracht 23.3 het merendeel in als uitbreidingspunt? Bouwt een systeem dat na het derde fonds onbegrijpelijk is.</w:t>
      </w:r>
    </w:p>
    <w:p>
      <w:pPr>
        <w:pStyle w:val="ListParagraph"/>
        <w:numPr>
          <w:ilvl w:val="0"/>
          <w:numId w:val="5"/>
        </w:numPr>
        <w:spacing w:after="120"/>
      </w:pPr>
      <w:r>
        <w:rPr>
          <w:color w:val="1F2937"/>
          <w:sz w:val="22"/>
          <w:szCs w:val="22"/>
        </w:rPr>
        <w:t xml:space="preserve">Wie stelt bij 23.5c filtering-per-afspraak voor? Zit op borgingslaag 4 bij een risico dat meldplichtig is; dit is het scherpste signaal van dit deel.</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23</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CE: de 34 reglementsverschillen, met de drie schijngevallen erin verwerkt</w:t>
      </w:r>
    </w:p>
    <w:p>
      <w:pPr>
        <w:pStyle w:val="ListParagraph"/>
        <w:numPr>
          <w:ilvl w:val="0"/>
          <w:numId w:val="3"/>
        </w:numPr>
        <w:spacing w:after="100"/>
      </w:pPr>
      <w:r>
        <w:rPr>
          <w:color w:val="1F2937"/>
          <w:sz w:val="22"/>
          <w:szCs w:val="22"/>
        </w:rPr>
        <w:t xml:space="preserve">Bijlage CF: het juridisch memo met de openstaande vraag</w:t>
      </w:r>
    </w:p>
    <w:p>
      <w:pPr>
        <w:pStyle w:val="ListParagraph"/>
        <w:numPr>
          <w:ilvl w:val="0"/>
          <w:numId w:val="3"/>
        </w:numPr>
        <w:spacing w:after="100"/>
      </w:pPr>
      <w:r>
        <w:rPr>
          <w:color w:val="1F2937"/>
          <w:sz w:val="22"/>
          <w:szCs w:val="22"/>
        </w:rPr>
        <w:t xml:space="preserve">Bijlage CG: de 61 vindplaatsen, geordend zodat groepering mogelijk is</w:t>
      </w:r>
    </w:p>
    <w:p>
      <w:pPr>
        <w:pStyle w:val="ListParagraph"/>
        <w:numPr>
          <w:ilvl w:val="0"/>
          <w:numId w:val="3"/>
        </w:numPr>
        <w:spacing w:after="100"/>
      </w:pPr>
      <w:r>
        <w:rPr>
          <w:color w:val="1F2937"/>
          <w:sz w:val="22"/>
          <w:szCs w:val="22"/>
        </w:rPr>
        <w:t xml:space="preserve">Bijlage CH: aanleverformaat met de afnemers van beide fondsen</w:t>
      </w:r>
    </w:p>
    <w:p>
      <w:pPr>
        <w:pStyle w:val="ListParagraph"/>
        <w:numPr>
          <w:ilvl w:val="0"/>
          <w:numId w:val="3"/>
        </w:numPr>
        <w:spacing w:after="100"/>
      </w:pPr>
      <w:r>
        <w:rPr>
          <w:color w:val="1F2937"/>
          <w:sz w:val="22"/>
          <w:szCs w:val="22"/>
        </w:rPr>
        <w:t xml:space="preserve">De ADR's en de lijst met onomkeerbare beslissingen uit deel 17</w:t>
      </w:r>
    </w:p>
    <w:p>
      <w:pPr>
        <w:pStyle w:val="ListParagraph"/>
        <w:numPr>
          <w:ilvl w:val="0"/>
          <w:numId w:val="3"/>
        </w:numPr>
        <w:spacing w:after="100"/>
      </w:pPr>
      <w:r>
        <w:rPr>
          <w:color w:val="1F2937"/>
          <w:sz w:val="22"/>
          <w:szCs w:val="22"/>
        </w:rPr>
        <w:t xml:space="preserve">De conceptversies van de certificeringsopdrachten — deelnemers hebben ze nodig bij opdracht 23.7</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24 behandelt migratie en modernisering: hoe brengt u dertig jaar administratie over zonder de lopende uitvoering te raken. De brug: we weten nu hoe we twee fondsen scheiden. De volgende vraag is hoe fonds B er überhaupt in komt — dertig jaar dossiers, met een eigen geschiedenis, terwijl de uitvoering doordraait en de stelselovergang loopt. Dat is een migratievraagstuk, en het is het vraagstuk waarop in deze sector de meeste programma's stranden.</w:t>
      </w:r>
    </w:p>
    <w:p>
      <w:pPr>
        <w:pBdr>
          <w:top w:val="single" w:color="E5E7EB" w:sz="4" w:space="8"/>
        </w:pBdr>
        <w:spacing w:before="400"/>
        <w:jc w:val="center"/>
      </w:pPr>
      <w:r>
        <w:rPr>
          <w:i/>
          <w:iCs/>
          <w:color w:val="6B7280"/>
          <w:sz w:val="17"/>
          <w:szCs w:val="17"/>
        </w:rPr>
        <w:t xml:space="preserve">Ductus B.V. · Cursus Softwarearchitectuur · Niveau 3, deel 23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2026-08-17T19:39:42.083Z</dcterms:created>
  <dcterms:modified xsi:type="dcterms:W3CDTF">2026-08-17T19:39:42.084Z</dcterms:modified>
</cp:coreProperties>
</file>

<file path=docProps/custom.xml><?xml version="1.0" encoding="utf-8"?>
<Properties xmlns="http://schemas.openxmlformats.org/officeDocument/2006/custom-properties" xmlns:vt="http://schemas.openxmlformats.org/officeDocument/2006/docPropsVTypes"/>
</file>