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24 — Migratie en modernisering</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3 (CPSA-A certificeringstraject) · Deel 24 van 28</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is het deel waarin de cursus het dichtst bij de dagelijkse werkelijkheid van deze sector komt. Vrijwel elke deelnemer heeft een conversie meegemaakt, en de meeste hebben er een zien mislukken.</w:t>
      </w:r>
    </w:p>
    <w:p>
      <w:pPr>
        <w:spacing w:after="160" w:line="276"/>
      </w:pPr>
      <w:r>
        <w:rPr>
          <w:b/>
          <w:bCs/>
          <w:color w:val="1F2937"/>
          <w:sz w:val="22"/>
          <w:szCs w:val="22"/>
        </w:rPr>
        <w:t xml:space="preserve">Drie dingen kenmerken dit deel:</w:t>
      </w:r>
      <w:r>
        <w:rPr>
          <w:color w:val="1F2937"/>
          <w:sz w:val="22"/>
          <w:szCs w:val="22"/>
        </w:rPr>
        <w:t xml:space="preserve"/>
      </w:r>
    </w:p>
    <w:p>
      <w:pPr>
        <w:pStyle w:val="ListParagraph"/>
        <w:numPr>
          <w:ilvl w:val="0"/>
          <w:numId w:val="2"/>
        </w:numPr>
        <w:spacing w:after="120"/>
      </w:pPr>
      <w:r>
        <w:rPr>
          <w:b/>
          <w:bCs/>
          <w:color w:val="1F2937"/>
          <w:sz w:val="22"/>
          <w:szCs w:val="22"/>
        </w:rPr>
        <w:t xml:space="preserve">De architectuur is niet het probleem.</w:t>
      </w:r>
      <w:r>
        <w:rPr>
          <w:color w:val="1F2937"/>
          <w:sz w:val="22"/>
          <w:szCs w:val="22"/>
        </w:rPr>
        <w:t xml:space="preserve"> De strategieën zijn eenvoudig; het probleem zit in gegevens die u niet hebt gemaakt en waarvan de betekenis deels verloren is. Dat is een ongewone boodschap in een architectuurcursus en zij is juist.</w:t>
      </w:r>
    </w:p>
    <w:p>
      <w:pPr>
        <w:pStyle w:val="ListParagraph"/>
        <w:numPr>
          <w:ilvl w:val="0"/>
          <w:numId w:val="2"/>
        </w:numPr>
        <w:spacing w:after="120"/>
      </w:pPr>
      <w:r>
        <w:rPr>
          <w:b/>
          <w:bCs/>
          <w:color w:val="1F2937"/>
          <w:sz w:val="22"/>
          <w:szCs w:val="22"/>
        </w:rPr>
        <w:t xml:space="preserve">De rekensom in opdracht 24.3d is de kern.</w:t>
      </w:r>
      <w:r>
        <w:rPr>
          <w:color w:val="1F2937"/>
          <w:sz w:val="22"/>
          <w:szCs w:val="22"/>
        </w:rPr>
        <w:t xml:space="preserve"> Drie tot veertien mensmaanden aan beoordelingswerk, door mensen die ook de lopende uitvoering doen. Die som wordt in de praktijk zelden vooraf gemaakt, en zij bepaalt de haalbaarheid van de hele planning.</w:t>
      </w:r>
    </w:p>
    <w:p>
      <w:pPr>
        <w:pStyle w:val="ListParagraph"/>
        <w:numPr>
          <w:ilvl w:val="0"/>
          <w:numId w:val="2"/>
        </w:numPr>
        <w:spacing w:after="120"/>
      </w:pPr>
      <w:r>
        <w:rPr>
          <w:b/>
          <w:bCs/>
          <w:color w:val="1F2937"/>
          <w:sz w:val="22"/>
          <w:szCs w:val="22"/>
        </w:rPr>
        <w:t xml:space="preserve">Het bevat de opmaat naar deel 27.</w:t>
      </w:r>
      <w:r>
        <w:rPr>
          <w:color w:val="1F2937"/>
          <w:sz w:val="22"/>
          <w:szCs w:val="22"/>
        </w:rPr>
        <w:t xml:space="preserve"> Opdracht 24.5e — de parallelle berekening laat een verschil zien en het oude systeem blijkt fout — is de brug naar het zwaarste deel van niveau 3.</w:t>
      </w:r>
    </w:p>
    <w:p>
      <w:pPr>
        <w:spacing w:after="160" w:line="276"/>
      </w:pPr>
      <w:r>
        <w:rPr>
          <w:b/>
          <w:bCs/>
          <w:color w:val="1F2937"/>
          <w:sz w:val="22"/>
          <w:szCs w:val="22"/>
        </w:rPr>
        <w:t xml:space="preserve">Wat u moet bewaken: </w:t>
      </w:r>
      <w:r>
        <w:rPr>
          <w:color w:val="1F2937"/>
          <w:sz w:val="22"/>
          <w:szCs w:val="22"/>
        </w:rPr>
        <w:t xml:space="preserve">dit deel nodigt uit tot oorlogsverhalen. Die zijn waardevol en zij verdringen de opdrachten. Geef er ruimte in de terugkoppelingen en houd de opdrachten strak.</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600"/>
        <w:gridCol w:w="2100"/>
        <w:gridCol w:w="14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6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1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4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0:00–0:15</w:t>
            </w:r>
          </w:p>
        </w:tc>
        <w:tc>
          <w:tcPr>
            <w:tcW w:type="dxa" w:w="4600"/>
            <w:tcMar>
              <w:top w:type="dxa" w:w="100"/>
              <w:left w:type="dxa" w:w="120"/>
              <w:bottom w:type="dxa" w:w="100"/>
              <w:right w:type="dxa" w:w="120"/>
            </w:tcMar>
            <w:vAlign w:val="center"/>
          </w:tcPr>
          <w:p>
            <w:r>
              <w:rPr>
                <w:b w:val="false"/>
                <w:bCs w:val="false"/>
                <w:color w:val="1F2937"/>
                <w:sz w:val="19"/>
                <w:szCs w:val="19"/>
              </w:rPr>
              <w:t xml:space="preserve">De vraag; waarom de architectuur niet het probleem is</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0:15–0:40</w:t>
            </w:r>
          </w:p>
        </w:tc>
        <w:tc>
          <w:tcPr>
            <w:tcW w:type="dxa" w:w="4600"/>
            <w:tcMar>
              <w:top w:type="dxa" w:w="100"/>
              <w:left w:type="dxa" w:w="120"/>
              <w:bottom w:type="dxa" w:w="100"/>
              <w:right w:type="dxa" w:w="120"/>
            </w:tcMar>
            <w:vAlign w:val="center"/>
          </w:tcPr>
          <w:p>
            <w:r>
              <w:rPr>
                <w:b w:val="false"/>
                <w:bCs w:val="false"/>
                <w:color w:val="1F2937"/>
                <w:sz w:val="19"/>
                <w:szCs w:val="19"/>
              </w:rPr>
              <w:t xml:space="preserve">Vier strategieën; de terugvaloptie</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4–8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0:40–1:00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24.1 — de strategie kiezen</w:t>
            </w:r>
          </w:p>
        </w:tc>
        <w:tc>
          <w:tcPr>
            <w:tcW w:type="dxa" w:w="21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4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1:00–1:10</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100"/>
            <w:tcMar>
              <w:top w:type="dxa" w:w="100"/>
              <w:left w:type="dxa" w:w="120"/>
              <w:bottom w:type="dxa" w:w="100"/>
              <w:right w:type="dxa" w:w="120"/>
            </w:tcMar>
            <w:vAlign w:val="center"/>
          </w:tcPr>
          <w:p>
            <w:r>
              <w:rPr>
                <w:b w:val="false"/>
                <w:bCs w:val="false"/>
                <w:color w:val="1F2937"/>
                <w:sz w:val="19"/>
                <w:szCs w:val="19"/>
              </w:rPr>
              <w:t xml:space="preserve"/>
            </w:r>
          </w:p>
        </w:tc>
        <w:tc>
          <w:tcPr>
            <w:tcW w:type="dxa" w:w="14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1:10–1:30</w:t>
            </w:r>
          </w:p>
        </w:tc>
        <w:tc>
          <w:tcPr>
            <w:tcW w:type="dxa" w:w="4600"/>
            <w:tcMar>
              <w:top w:type="dxa" w:w="100"/>
              <w:left w:type="dxa" w:w="120"/>
              <w:bottom w:type="dxa" w:w="100"/>
              <w:right w:type="dxa" w:w="120"/>
            </w:tcMar>
            <w:vAlign w:val="center"/>
          </w:tcPr>
          <w:p>
            <w:r>
              <w:rPr>
                <w:b w:val="false"/>
                <w:bCs w:val="false"/>
                <w:color w:val="1F2937"/>
                <w:sz w:val="19"/>
                <w:szCs w:val="19"/>
              </w:rPr>
              <w:t xml:space="preserve">Tranches ontwerpen</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9–13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1:30–2:10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24.2 — tranches ontwerpen</w:t>
            </w:r>
          </w:p>
        </w:tc>
        <w:tc>
          <w:tcPr>
            <w:tcW w:type="dxa" w:w="21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438"/>
            <w:tcMar>
              <w:top w:type="dxa" w:w="100"/>
              <w:left w:type="dxa" w:w="120"/>
              <w:bottom w:type="dxa" w:w="100"/>
              <w:right w:type="dxa" w:w="120"/>
            </w:tcMar>
            <w:vAlign w:val="center"/>
          </w:tcPr>
          <w:p>
            <w:r>
              <w:rPr>
                <w:b w:val="false"/>
                <w:bCs w:val="false"/>
                <w:color w:val="1F2937"/>
                <w:sz w:val="19"/>
                <w:szCs w:val="19"/>
              </w:rPr>
              <w:t xml:space="preserve">14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2:10–2:30</w:t>
            </w:r>
          </w:p>
        </w:tc>
        <w:tc>
          <w:tcPr>
            <w:tcW w:type="dxa" w:w="4600"/>
            <w:tcMar>
              <w:top w:type="dxa" w:w="100"/>
              <w:left w:type="dxa" w:w="120"/>
              <w:bottom w:type="dxa" w:w="100"/>
              <w:right w:type="dxa" w:w="120"/>
            </w:tcMar>
            <w:vAlign w:val="center"/>
          </w:tcPr>
          <w:p>
            <w:r>
              <w:rPr>
                <w:b w:val="false"/>
                <w:bCs w:val="false"/>
                <w:color w:val="1F2937"/>
                <w:sz w:val="19"/>
                <w:szCs w:val="19"/>
              </w:rPr>
              <w:t xml:space="preserve">Waar migraties op stuklopen; de vier routes</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15–19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2:30–2:40</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100"/>
            <w:tcMar>
              <w:top w:type="dxa" w:w="100"/>
              <w:left w:type="dxa" w:w="120"/>
              <w:bottom w:type="dxa" w:w="100"/>
              <w:right w:type="dxa" w:w="120"/>
            </w:tcMar>
            <w:vAlign w:val="center"/>
          </w:tcPr>
          <w:p>
            <w:r>
              <w:rPr>
                <w:b w:val="false"/>
                <w:bCs w:val="false"/>
                <w:color w:val="1F2937"/>
                <w:sz w:val="19"/>
                <w:szCs w:val="19"/>
              </w:rPr>
              <w:t xml:space="preserve"/>
            </w:r>
          </w:p>
        </w:tc>
        <w:tc>
          <w:tcPr>
            <w:tcW w:type="dxa" w:w="14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2:40–3:15</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24.3 — de problematische dossiers</w:t>
            </w:r>
          </w:p>
        </w:tc>
        <w:tc>
          <w:tcPr>
            <w:tcW w:type="dxa" w:w="2100"/>
            <w:tcMar>
              <w:top w:type="dxa" w:w="100"/>
              <w:left w:type="dxa" w:w="120"/>
              <w:bottom w:type="dxa" w:w="100"/>
              <w:right w:type="dxa" w:w="120"/>
            </w:tcMar>
            <w:vAlign w:val="center"/>
          </w:tcPr>
          <w:p>
            <w:r>
              <w:rPr>
                <w:b w:val="false"/>
                <w:bCs w:val="false"/>
                <w:color w:val="1F2937"/>
                <w:sz w:val="19"/>
                <w:szCs w:val="19"/>
              </w:rPr>
              <w:t xml:space="preserve">duo's</w:t>
            </w:r>
          </w:p>
        </w:tc>
        <w:tc>
          <w:tcPr>
            <w:tcW w:type="dxa" w:w="1438"/>
            <w:tcMar>
              <w:top w:type="dxa" w:w="100"/>
              <w:left w:type="dxa" w:w="120"/>
              <w:bottom w:type="dxa" w:w="100"/>
              <w:right w:type="dxa" w:w="120"/>
            </w:tcMar>
            <w:vAlign w:val="center"/>
          </w:tcPr>
          <w:p>
            <w:r>
              <w:rPr>
                <w:b w:val="false"/>
                <w:bCs w:val="false"/>
                <w:color w:val="1F2937"/>
                <w:sz w:val="19"/>
                <w:szCs w:val="19"/>
              </w:rPr>
              <w:t xml:space="preserve">20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3:15–3:30</w:t>
            </w:r>
          </w:p>
        </w:tc>
        <w:tc>
          <w:tcPr>
            <w:tcW w:type="dxa" w:w="4600"/>
            <w:tcMar>
              <w:top w:type="dxa" w:w="100"/>
              <w:left w:type="dxa" w:w="120"/>
              <w:bottom w:type="dxa" w:w="100"/>
              <w:right w:type="dxa" w:w="120"/>
            </w:tcMar>
            <w:vAlign w:val="center"/>
          </w:tcPr>
          <w:p>
            <w:r>
              <w:rPr>
                <w:b w:val="false"/>
                <w:bCs w:val="false"/>
                <w:color w:val="1F2937"/>
                <w:sz w:val="19"/>
                <w:szCs w:val="19"/>
              </w:rPr>
              <w:t xml:space="preserve">Wat migreert niet</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21–23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3:30–3:50</w:t>
            </w:r>
          </w:p>
        </w:tc>
        <w:tc>
          <w:tcPr>
            <w:tcW w:type="dxa" w:w="4600"/>
            <w:tcMar>
              <w:top w:type="dxa" w:w="100"/>
              <w:left w:type="dxa" w:w="120"/>
              <w:bottom w:type="dxa" w:w="100"/>
              <w:right w:type="dxa" w:w="120"/>
            </w:tcMar>
            <w:vAlign w:val="center"/>
          </w:tcPr>
          <w:p>
            <w:r>
              <w:rPr>
                <w:b w:val="false"/>
                <w:bCs w:val="false"/>
                <w:color w:val="1F2937"/>
                <w:sz w:val="19"/>
                <w:szCs w:val="19"/>
              </w:rPr>
              <w:t xml:space="preserve">Meten of het klopt; uitfaseren</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24–27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3:50–4:00</w:t>
            </w:r>
          </w:p>
        </w:tc>
        <w:tc>
          <w:tcPr>
            <w:tcW w:type="dxa" w:w="4600"/>
            <w:tcMar>
              <w:top w:type="dxa" w:w="100"/>
              <w:left w:type="dxa" w:w="120"/>
              <w:bottom w:type="dxa" w:w="100"/>
              <w:right w:type="dxa" w:w="120"/>
            </w:tcMar>
            <w:vAlign w:val="center"/>
          </w:tcPr>
          <w:p>
            <w:r>
              <w:rPr>
                <w:b w:val="false"/>
                <w:bCs w:val="false"/>
                <w:color w:val="1F2937"/>
                <w:sz w:val="19"/>
                <w:szCs w:val="19"/>
              </w:rPr>
              <w:t xml:space="preserve">Huiswerk eigen spoor</w:t>
            </w:r>
          </w:p>
        </w:tc>
        <w:tc>
          <w:tcPr>
            <w:tcW w:type="dxa" w:w="21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28</w:t>
            </w:r>
          </w:p>
        </w:tc>
      </w:tr>
    </w:tbl>
    <w:p>
      <w:pPr>
        <w:spacing w:after="300"/>
      </w:pPr>
    </w:p>
    <w:p>
      <w:pPr>
        <w:spacing w:after="160" w:line="276"/>
      </w:pPr>
      <w:r>
        <w:rPr>
          <w:b/>
          <w:bCs/>
          <w:color w:val="1F2937"/>
          <w:sz w:val="22"/>
          <w:szCs w:val="22"/>
        </w:rPr>
        <w:t xml:space="preserve">Opdracht 24.4 (wat migreert niet), 24.5 (meetplan) en 24.6 (uitfaseren) staan niet in de planning.</w:t>
      </w:r>
      <w:r>
        <w:rPr>
          <w:color w:val="1F2937"/>
          <w:sz w:val="22"/>
          <w:szCs w:val="22"/>
        </w:rPr>
        <w:t xml:space="preserve"> Keuzes:</w:t>
      </w:r>
    </w:p>
    <w:p>
      <w:pPr>
        <w:pStyle w:val="ListParagraph"/>
        <w:numPr>
          <w:ilvl w:val="0"/>
          <w:numId w:val="3"/>
        </w:numPr>
        <w:spacing w:after="100"/>
      </w:pPr>
      <w:r>
        <w:rPr>
          <w:b/>
          <w:bCs/>
          <w:color w:val="1F2937"/>
          <w:sz w:val="22"/>
          <w:szCs w:val="22"/>
        </w:rPr>
        <w:t xml:space="preserve">Doe 24.5 in plaats van 24.3</w:t>
      </w:r>
      <w:r>
        <w:rPr>
          <w:color w:val="1F2937"/>
          <w:sz w:val="22"/>
          <w:szCs w:val="22"/>
        </w:rPr>
        <w:t xml:space="preserve"> bij groepen die de gegevensproblematiek al kennen; onderdeel e) is de sterkste vraag van het deel en de brug naar deel 27.</w:t>
      </w:r>
    </w:p>
    <w:p>
      <w:pPr>
        <w:pStyle w:val="ListParagraph"/>
        <w:numPr>
          <w:ilvl w:val="0"/>
          <w:numId w:val="3"/>
        </w:numPr>
        <w:spacing w:after="100"/>
      </w:pPr>
      <w:r>
        <w:rPr>
          <w:b/>
          <w:bCs/>
          <w:color w:val="1F2937"/>
          <w:sz w:val="22"/>
          <w:szCs w:val="22"/>
        </w:rPr>
        <w:t xml:space="preserve">Doe 24.4</w:t>
      </w:r>
      <w:r>
        <w:rPr>
          <w:color w:val="1F2937"/>
          <w:sz w:val="22"/>
          <w:szCs w:val="22"/>
        </w:rPr>
        <w:t xml:space="preserve"> bij groepen die voor een conversie staan; de vraag wat níét mee hoeft, wordt in de praktijk zelden gesteld en levert direct besparing op.</w:t>
      </w:r>
    </w:p>
    <w:p>
      <w:pPr>
        <w:pStyle w:val="ListParagraph"/>
        <w:numPr>
          <w:ilvl w:val="0"/>
          <w:numId w:val="3"/>
        </w:numPr>
        <w:spacing w:after="100"/>
      </w:pPr>
      <w:r>
        <w:rPr>
          <w:b/>
          <w:bCs/>
          <w:color w:val="1F2937"/>
          <w:sz w:val="22"/>
          <w:szCs w:val="22"/>
        </w:rPr>
        <w:t xml:space="preserve">Doe 24.6 als afsluiting van vijftien minuten</w:t>
      </w:r>
      <w:r>
        <w:rPr>
          <w:color w:val="1F2937"/>
          <w:sz w:val="22"/>
          <w:szCs w:val="22"/>
        </w:rPr>
        <w:t xml:space="preserve"> bij groepen met een oud systeem dat blijft draaien — dat is bij de meesten het geval.</w:t>
      </w:r>
    </w:p>
    <w:p>
      <w:pPr>
        <w:spacing w:after="160" w:line="276"/>
      </w:pPr>
      <w:r>
        <w:rPr>
          <w:b/>
          <w:bCs/>
          <w:color w:val="1F2937"/>
          <w:sz w:val="22"/>
          <w:szCs w:val="22"/>
        </w:rPr>
        <w:t xml:space="preserve">Wat u nooit inkort: </w:t>
      </w:r>
      <w:r>
        <w:rPr>
          <w:color w:val="1F2937"/>
          <w:sz w:val="22"/>
          <w:szCs w:val="22"/>
        </w:rPr>
        <w:t xml:space="preserve">opdracht 24.3, onderdeel d). Die rekensom is de belangrijkste uitkomst van het dagdeel.</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De vraag (slides 2–3)</w:t>
      </w:r>
    </w:p>
    <w:p>
      <w:pPr>
        <w:spacing w:after="160" w:line="276"/>
      </w:pPr>
      <w:r>
        <w:rPr>
          <w:b/>
          <w:bCs/>
          <w:color w:val="1F2937"/>
          <w:sz w:val="22"/>
          <w:szCs w:val="22"/>
        </w:rPr>
        <w:t xml:space="preserve">Slide 3 is een ongewone opening voor een architectuurcursus </w:t>
      </w:r>
      <w:r>
        <w:rPr>
          <w:color w:val="1F2937"/>
          <w:sz w:val="22"/>
          <w:szCs w:val="22"/>
        </w:rPr>
        <w:t xml:space="preserve">en zij is de juiste: de architectuur is hier niet het probleem.</w:t>
      </w:r>
    </w:p>
    <w:p>
      <w:pPr>
        <w:spacing w:after="160" w:line="276"/>
      </w:pPr>
      <w:r>
        <w:rPr>
          <w:color w:val="1F2937"/>
          <w:sz w:val="22"/>
          <w:szCs w:val="22"/>
        </w:rPr>
        <w:t xml:space="preserve">Deelnemers verwachten migratiepatronen. Wat zij krijgen is de constatering dat de patronen eenvoudig zijn en de gegevens niet. Zeg dat expliciet, want anders wachten zij het hele dagdeel op het technische deel.</w:t>
      </w:r>
    </w:p>
    <w:p>
      <w:pPr>
        <w:pStyle w:val="Heading2"/>
        <w:spacing w:after="140" w:before="260"/>
      </w:pPr>
      <w:r>
        <w:rPr>
          <w:b/>
          <w:bCs/>
          <w:color w:val="4A6789"/>
          <w:sz w:val="24"/>
          <w:szCs w:val="24"/>
        </w:rPr>
        <w:t xml:space="preserve">3.2 De strategieën (slides 4–8)</w:t>
      </w:r>
    </w:p>
    <w:p>
      <w:pPr>
        <w:spacing w:after="160" w:line="276"/>
      </w:pPr>
      <w:r>
        <w:rPr>
          <w:b/>
          <w:bCs/>
          <w:color w:val="1F2937"/>
          <w:sz w:val="22"/>
          <w:szCs w:val="22"/>
        </w:rPr>
        <w:t xml:space="preserve">Slide 6 is het scherpste punt van dit blok: </w:t>
      </w:r>
      <w:r>
        <w:rPr>
          <w:color w:val="1F2937"/>
          <w:sz w:val="22"/>
          <w:szCs w:val="22"/>
        </w:rPr>
        <w:t xml:space="preserve">een terugvaloptie die na enkele uren vervalt, is geen terugvaloptie.</w:t>
      </w:r>
    </w:p>
    <w:p>
      <w:pPr>
        <w:spacing w:after="160" w:line="276"/>
      </w:pPr>
      <w:r>
        <w:rPr>
          <w:color w:val="1F2937"/>
          <w:sz w:val="22"/>
          <w:szCs w:val="22"/>
        </w:rPr>
        <w:t xml:space="preserve">Dat argument is beslissend tegen de grote overgang en het wordt zelden zo geformuleerd. De redenering: na productie zijn er mutaties verwerkt die het oude systeem niet kent, en een gedane uitkering draait u niet terug.</w:t>
      </w:r>
    </w:p>
    <w:p>
      <w:pPr>
        <w:spacing w:after="160" w:line="276"/>
      </w:pPr>
      <w:r>
        <w:rPr>
          <w:b/>
          <w:bCs/>
          <w:color w:val="1F2937"/>
          <w:sz w:val="22"/>
          <w:szCs w:val="22"/>
        </w:rPr>
        <w:t xml:space="preserve">Slide 7, laatste regel </w:t>
      </w:r>
      <w:r>
        <w:rPr>
          <w:color w:val="1F2937"/>
          <w:sz w:val="22"/>
          <w:szCs w:val="22"/>
        </w:rPr>
        <w:t xml:space="preserve">verdient nadruk: parallel draaien voor het geheel is operationeel niet vol te houden, want ook de invoer gebeurt dan twee keer. Deelnemers die parallel draaien als algemene oplossing zien, missen dat.</w:t>
      </w:r>
    </w:p>
    <w:p>
      <w:pPr>
        <w:spacing w:after="160" w:line="276"/>
      </w:pPr>
      <w:r>
        <w:rPr>
          <w:b/>
          <w:bCs/>
          <w:color w:val="1F2937"/>
          <w:sz w:val="22"/>
          <w:szCs w:val="22"/>
        </w:rPr>
        <w:t xml:space="preserve">Opdracht 24.1, plenair bij e).</w:t>
      </w:r>
      <w:r>
        <w:rPr>
          <w:color w:val="1F2937"/>
          <w:sz w:val="22"/>
          <w:szCs w:val="22"/>
        </w:rPr>
        <w:t xml:space="preserve"> Wat duur wordt en wie het merkt: de tranchestrategie betekent maanden waarin de mutatiebehandelaar in twee systemen werkt. Dat is de prijs die tijdens de planning het vaakst wordt vergeten en tijdens de uitvoering het meeste weerstand oplevert.</w:t>
      </w:r>
    </w:p>
    <w:p>
      <w:pPr>
        <w:pStyle w:val="Heading2"/>
        <w:spacing w:after="140" w:before="260"/>
      </w:pPr>
      <w:r>
        <w:rPr>
          <w:b/>
          <w:bCs/>
          <w:color w:val="4A6789"/>
          <w:sz w:val="24"/>
          <w:szCs w:val="24"/>
        </w:rPr>
        <w:t xml:space="preserve">3.3 Tranches (slides 9–14)</w:t>
      </w:r>
    </w:p>
    <w:p>
      <w:pPr>
        <w:spacing w:after="160" w:line="276"/>
      </w:pPr>
      <w:r>
        <w:rPr>
          <w:b/>
          <w:bCs/>
          <w:color w:val="1F2937"/>
          <w:sz w:val="22"/>
          <w:szCs w:val="22"/>
        </w:rPr>
        <w:t xml:space="preserve">Slide 11 is de redenering die groepen zelf niet maken.</w:t>
      </w:r>
      <w:r>
        <w:rPr>
          <w:color w:val="1F2937"/>
          <w:sz w:val="22"/>
          <w:szCs w:val="22"/>
        </w:rPr>
        <w:t xml:space="preserve"> De instinctieve volgorde is eenvoudig-naar-moeilijk, en dat plaatst de zwaarste categorie in de laatste tranche — precies waar de deadline het dichtst is en de terugvalruimte het kleinst.</w:t>
      </w:r>
    </w:p>
    <w:p>
      <w:pPr>
        <w:spacing w:after="160" w:line="276"/>
      </w:pPr>
      <w:r>
        <w:rPr>
          <w:b/>
          <w:bCs/>
          <w:color w:val="1F2937"/>
          <w:sz w:val="22"/>
          <w:szCs w:val="22"/>
        </w:rPr>
        <w:t xml:space="preserve">Slide 12–13, het vierde punt.</w:t>
      </w:r>
      <w:r>
        <w:rPr>
          <w:color w:val="1F2937"/>
          <w:sz w:val="22"/>
          <w:szCs w:val="22"/>
        </w:rPr>
        <w:t xml:space="preserve"> Waar een dossier staat, moet een blokkade zijn en geen indicatie. Dit is de oorzaak van het meest voorkomende operationele probleem tijdens lange migraties, en groepen ontwerpen standaard een indicatie.</w:t>
      </w:r>
    </w:p>
    <w:p>
      <w:pPr>
        <w:spacing w:after="160" w:line="276"/>
      </w:pPr>
      <w:r>
        <w:rPr>
          <w:color w:val="1F2937"/>
          <w:sz w:val="22"/>
          <w:szCs w:val="22"/>
        </w:rPr>
        <w:t xml:space="preserve">Het argument: onder tijdsdruk kijkt niemand naar een indicatie. Dat is dezelfde redenering als de borgingsladder uit deel 9 — onvermijdelijk boven afgesproken.</w:t>
      </w:r>
    </w:p>
    <w:p>
      <w:pPr>
        <w:spacing w:after="160" w:line="276"/>
      </w:pPr>
      <w:r>
        <w:rPr>
          <w:b/>
          <w:bCs/>
          <w:color w:val="1F2937"/>
          <w:sz w:val="22"/>
          <w:szCs w:val="22"/>
        </w:rPr>
        <w:t xml:space="preserve">Opdracht 24.2, twee interventies:</w:t>
      </w:r>
      <w:r>
        <w:rPr>
          <w:color w:val="1F2937"/>
          <w:sz w:val="22"/>
          <w:szCs w:val="22"/>
        </w:rPr>
        <w:t xml:space="preserve"/>
      </w:r>
    </w:p>
    <w:p>
      <w:pPr>
        <w:pStyle w:val="ListParagraph"/>
        <w:numPr>
          <w:ilvl w:val="0"/>
          <w:numId w:val="4"/>
        </w:numPr>
        <w:spacing w:after="120"/>
      </w:pPr>
      <w:r>
        <w:rPr>
          <w:b/>
          <w:bCs/>
          <w:color w:val="1F2937"/>
          <w:sz w:val="22"/>
          <w:szCs w:val="22"/>
        </w:rPr>
        <w:t xml:space="preserve">De moeilijkste categorie belandt in de laatste tranche.</w:t>
      </w:r>
      <w:r>
        <w:rPr>
          <w:color w:val="1F2937"/>
          <w:sz w:val="22"/>
          <w:szCs w:val="22"/>
        </w:rPr>
        <w:t xml:space="preserve"> Vraag naar de verdediging; die is er niet.</w:t>
      </w:r>
    </w:p>
    <w:p>
      <w:pPr>
        <w:pStyle w:val="ListParagraph"/>
        <w:numPr>
          <w:ilvl w:val="0"/>
          <w:numId w:val="4"/>
        </w:numPr>
        <w:spacing w:after="120"/>
      </w:pPr>
      <w:r>
        <w:rPr>
          <w:b/>
          <w:bCs/>
          <w:color w:val="1F2937"/>
          <w:sz w:val="22"/>
          <w:szCs w:val="22"/>
        </w:rPr>
        <w:t xml:space="preserve">Onderdeel f) wordt met een indicatie beantwoord.</w:t>
      </w:r>
      <w:r>
        <w:rPr>
          <w:color w:val="1F2937"/>
          <w:sz w:val="22"/>
          <w:szCs w:val="22"/>
        </w:rPr>
        <w:t xml:space="preserve"> Duw naar een blokkade in het niet-leidende systeem.</w:t>
      </w:r>
    </w:p>
    <w:p>
      <w:pPr>
        <w:spacing w:after="160" w:line="276"/>
      </w:pPr>
      <w:r>
        <w:rPr>
          <w:b/>
          <w:bCs/>
          <w:color w:val="1F2937"/>
          <w:sz w:val="22"/>
          <w:szCs w:val="22"/>
        </w:rPr>
        <w:t xml:space="preserve">Bij onderdeel e) is de uitkomst instructief: </w:t>
      </w:r>
      <w:r>
        <w:rPr>
          <w:color w:val="1F2937"/>
          <w:sz w:val="22"/>
          <w:szCs w:val="22"/>
        </w:rPr>
        <w:t xml:space="preserve">om een terugvaloptie langer dan enkele uren te houden, moet het oude systeem schrijfbaar blijven en moeten nieuwe mutaties in beide worden vastgelegd. Dat is duur, en het is de enige manier — dus het is een expliciete kosten-batenafweging en geen technisch detail.</w:t>
      </w:r>
    </w:p>
    <w:p>
      <w:pPr>
        <w:pStyle w:val="Heading2"/>
        <w:spacing w:after="140" w:before="260"/>
      </w:pPr>
      <w:r>
        <w:rPr>
          <w:b/>
          <w:bCs/>
          <w:color w:val="4A6789"/>
          <w:sz w:val="24"/>
          <w:szCs w:val="24"/>
        </w:rPr>
        <w:t xml:space="preserve">3.4 Waar het op stukloopt (slides 15–20)</w:t>
      </w:r>
    </w:p>
    <w:p>
      <w:pPr>
        <w:spacing w:after="160" w:line="276"/>
      </w:pPr>
      <w:r>
        <w:rPr>
          <w:b/>
          <w:bCs/>
          <w:color w:val="1F2937"/>
          <w:sz w:val="22"/>
          <w:szCs w:val="22"/>
        </w:rPr>
        <w:t xml:space="preserve">Slide 18–19 zijn het zwaartepunt van het dagdeel.</w:t>
      </w:r>
      <w:r>
        <w:rPr>
          <w:color w:val="1F2937"/>
          <w:sz w:val="22"/>
          <w:szCs w:val="22"/>
        </w:rPr>
        <w:t xml:space="preserve"/>
      </w:r>
    </w:p>
    <w:p>
      <w:pPr>
        <w:spacing w:after="160" w:line="276"/>
      </w:pPr>
      <w:r>
        <w:rPr>
          <w:color w:val="1F2937"/>
          <w:sz w:val="22"/>
          <w:szCs w:val="22"/>
        </w:rPr>
        <w:t xml:space="preserve">Laat de groep de rekensom zelf maken voordat u slide 18 toont: één tot vijf procent van 85.000, half uur per geval. De uitkomst — drie tot veertien mensmaanden — is voor de meesten hoger dan verwacht.</w:t>
      </w:r>
    </w:p>
    <w:p>
      <w:pPr>
        <w:spacing w:after="160" w:line="276"/>
      </w:pPr>
      <w:r>
        <w:rPr>
          <w:b/>
          <w:bCs/>
          <w:color w:val="1F2937"/>
          <w:sz w:val="22"/>
          <w:szCs w:val="22"/>
        </w:rPr>
        <w:t xml:space="preserve">Slide 19 is de toevoeging die het scherp maakt: </w:t>
      </w:r>
      <w:r>
        <w:rPr>
          <w:color w:val="1F2937"/>
          <w:sz w:val="22"/>
          <w:szCs w:val="22"/>
        </w:rPr>
        <w:t xml:space="preserve">de mensen die dit kunnen beoordelen, zijn precies de mensen die ook de lopende uitvoering doen. Er is geen externe capaciteit voor, want de kennis is intern.</w:t>
      </w:r>
    </w:p>
    <w:p>
      <w:pPr>
        <w:spacing w:after="160" w:line="276"/>
      </w:pPr>
      <w:r>
        <w:rPr>
          <w:b/>
          <w:bCs/>
          <w:color w:val="1F2937"/>
          <w:sz w:val="22"/>
          <w:szCs w:val="22"/>
        </w:rPr>
        <w:t xml:space="preserve">Dat maakt de beoordelingscapaciteit de bepalende factor in de planning, </w:t>
      </w:r>
      <w:r>
        <w:rPr>
          <w:color w:val="1F2937"/>
          <w:sz w:val="22"/>
          <w:szCs w:val="22"/>
        </w:rPr>
        <w:t xml:space="preserve">en niet de technische conversie. Groepen die hun tranche-indeling daarop aanpassen, hebben de belangrijkste les van het deel.</w:t>
      </w:r>
    </w:p>
    <w:p>
      <w:pPr>
        <w:spacing w:after="160" w:line="276"/>
      </w:pPr>
      <w:r>
        <w:rPr>
          <w:b/>
          <w:bCs/>
          <w:color w:val="1F2937"/>
          <w:sz w:val="22"/>
          <w:szCs w:val="22"/>
        </w:rPr>
        <w:t xml:space="preserve">Opdracht 24.3, plenair bij c) en d).</w:t>
      </w:r>
      <w:r>
        <w:rPr>
          <w:color w:val="1F2937"/>
          <w:sz w:val="22"/>
          <w:szCs w:val="22"/>
        </w:rPr>
        <w:t xml:space="preserve"/>
      </w:r>
    </w:p>
    <w:p>
      <w:pPr>
        <w:spacing w:after="160" w:line="276"/>
      </w:pPr>
      <w:r>
        <w:rPr>
          <w:color w:val="1F2937"/>
          <w:sz w:val="22"/>
          <w:szCs w:val="22"/>
        </w:rPr>
        <w:t xml:space="preserve">Bij c) is het patroon inmiddels bekend: bij minstens vier van de twaalf is de besluitnemer niet de architect. De inzet is hier het hoogst van de hele cursus, want de gevolgen landen bij individuele deelnemers — een verkeerde ingangsdatum betekent een verkeerd pensioen.</w:t>
      </w:r>
    </w:p>
    <w:p>
      <w:pPr>
        <w:pStyle w:val="Heading2"/>
        <w:spacing w:after="140" w:before="260"/>
      </w:pPr>
      <w:r>
        <w:rPr>
          <w:b/>
          <w:bCs/>
          <w:color w:val="4A6789"/>
          <w:sz w:val="24"/>
          <w:szCs w:val="24"/>
        </w:rPr>
        <w:t xml:space="preserve">3.5 Wat migreert niet (slides 21–23)</w:t>
      </w:r>
    </w:p>
    <w:p>
      <w:pPr>
        <w:spacing w:after="160" w:line="276"/>
      </w:pPr>
      <w:r>
        <w:rPr>
          <w:b/>
          <w:bCs/>
          <w:color w:val="1F2937"/>
          <w:sz w:val="22"/>
          <w:szCs w:val="22"/>
        </w:rPr>
        <w:t xml:space="preserve">Slide 22 stelt een vraag die in de praktijk zelden wordt gesteld, </w:t>
      </w:r>
      <w:r>
        <w:rPr>
          <w:color w:val="1F2937"/>
          <w:sz w:val="22"/>
          <w:szCs w:val="22"/>
        </w:rPr>
        <w:t xml:space="preserve">en het bijeffect is het aardigst: de gegevens buiten de bewaartermijn zijn tegelijk de slechtste die u hebt. Weglaten bespaart dus dubbel.</w:t>
      </w:r>
    </w:p>
    <w:p>
      <w:pPr>
        <w:spacing w:after="160" w:line="276"/>
      </w:pPr>
      <w:r>
        <w:rPr>
          <w:b/>
          <w:bCs/>
          <w:color w:val="1F2937"/>
          <w:sz w:val="22"/>
          <w:szCs w:val="22"/>
        </w:rPr>
        <w:t xml:space="preserve">Slide 23 is de zin die blijft hangen: </w:t>
      </w:r>
      <w:r>
        <w:rPr>
          <w:color w:val="1F2937"/>
          <w:sz w:val="22"/>
          <w:szCs w:val="22"/>
        </w:rPr>
        <w:t xml:space="preserve">elk gemigreerd dossier is een dossier dat u vanaf dat moment bezit, inclusief zijn fouten.</w:t>
      </w:r>
    </w:p>
    <w:p>
      <w:pPr>
        <w:spacing w:after="160" w:line="276"/>
      </w:pPr>
      <w:r>
        <w:rPr>
          <w:color w:val="1F2937"/>
          <w:sz w:val="22"/>
          <w:szCs w:val="22"/>
        </w:rPr>
        <w:t xml:space="preserve">Als u opdracht 24.4 doet, is onderdeel e) de toets: de inzagevraag uit 1994 moet beantwoordbaar blijven. Niet-migreren mag; onbereikbaar maken niet.</w:t>
      </w:r>
    </w:p>
    <w:p>
      <w:pPr>
        <w:pStyle w:val="Heading2"/>
        <w:spacing w:after="140" w:before="260"/>
      </w:pPr>
      <w:r>
        <w:rPr>
          <w:b/>
          <w:bCs/>
          <w:color w:val="4A6789"/>
          <w:sz w:val="24"/>
          <w:szCs w:val="24"/>
        </w:rPr>
        <w:t xml:space="preserve">3.6 Meten en uitfaseren (slides 24–27)</w:t>
      </w:r>
    </w:p>
    <w:p>
      <w:pPr>
        <w:spacing w:after="160" w:line="276"/>
      </w:pPr>
      <w:r>
        <w:rPr>
          <w:b/>
          <w:bCs/>
          <w:color w:val="1F2937"/>
          <w:sz w:val="22"/>
          <w:szCs w:val="22"/>
        </w:rPr>
        <w:t xml:space="preserve">Slide 25, laatste regel: </w:t>
      </w:r>
      <w:r>
        <w:rPr>
          <w:color w:val="1F2937"/>
          <w:sz w:val="22"/>
          <w:szCs w:val="22"/>
        </w:rPr>
        <w:t xml:space="preserve">leg vóór tranche 1 vast welke verschillen acceptabel zijn. Anders wordt het onder tijdsdruk onderhandeld, en dan schuift de grens altijd één kant op.</w:t>
      </w:r>
    </w:p>
    <w:p>
      <w:pPr>
        <w:spacing w:after="160" w:line="276"/>
      </w:pPr>
      <w:r>
        <w:rPr>
          <w:b/>
          <w:bCs/>
          <w:color w:val="1F2937"/>
          <w:sz w:val="22"/>
          <w:szCs w:val="22"/>
        </w:rPr>
        <w:t xml:space="preserve">Slide 26 is de reden dat dit ertoe doet: </w:t>
      </w:r>
      <w:r>
        <w:rPr>
          <w:color w:val="1F2937"/>
          <w:sz w:val="22"/>
          <w:szCs w:val="22"/>
        </w:rPr>
        <w:t xml:space="preserve">een migratie die technisch slaagt en inhoudelijk faalt, komt naar boven bij individuele deelnemers, verspreid over jaren. Er is geen storing, geen melding, en geen moment waarop iemand het merkt.</w:t>
      </w:r>
    </w:p>
    <w:p>
      <w:pPr>
        <w:spacing w:after="160" w:line="276"/>
      </w:pPr>
      <w:r>
        <w:rPr>
          <w:b/>
          <w:bCs/>
          <w:color w:val="1F2937"/>
          <w:sz w:val="22"/>
          <w:szCs w:val="22"/>
        </w:rPr>
        <w:t xml:space="preserve">Slide 27 </w:t>
      </w:r>
      <w:r>
        <w:rPr>
          <w:color w:val="1F2937"/>
          <w:sz w:val="22"/>
          <w:szCs w:val="22"/>
        </w:rPr>
        <w:t xml:space="preserve">is de terugkeer van het strangler-patroon uit deel 13, nu met de administratieve variant. Het punt: stap 5 wordt jaren uitgesteld, en de maatregel is een uitzetdatum met eigenaar bij de start.</w:t>
      </w:r>
    </w:p>
    <w:p>
      <w:pPr>
        <w:spacing w:after="160" w:line="276"/>
      </w:pPr>
      <w:r>
        <w:rPr>
          <w:b/>
          <w:bCs/>
          <w:color w:val="1F2937"/>
          <w:sz w:val="22"/>
          <w:szCs w:val="22"/>
        </w:rPr>
        <w:t xml:space="preserve">Als u opdracht 24.6 doet, </w:t>
      </w:r>
      <w:r>
        <w:rPr>
          <w:color w:val="1F2937"/>
          <w:sz w:val="22"/>
          <w:szCs w:val="22"/>
        </w:rPr>
        <w:t xml:space="preserve">is bijlage CL het bewijsmateriaal: zes jaar doordraaien, met twee gelegenheden waarop de systemen uiteen bleken te lopen.</w:t>
      </w:r>
    </w:p>
    <w:p>
      <w:pPr>
        <w:pStyle w:val="Heading2"/>
        <w:spacing w:after="140" w:before="260"/>
      </w:pPr>
      <w:r>
        <w:rPr>
          <w:b/>
          <w:bCs/>
          <w:color w:val="4A6789"/>
          <w:sz w:val="24"/>
          <w:szCs w:val="24"/>
        </w:rPr>
        <w:t xml:space="preserve">3.7 De brug naar deel 27</w:t>
      </w:r>
    </w:p>
    <w:p>
      <w:pPr>
        <w:spacing w:after="160" w:line="276"/>
      </w:pPr>
      <w:r>
        <w:rPr>
          <w:b/>
          <w:bCs/>
          <w:color w:val="1F2937"/>
          <w:sz w:val="22"/>
          <w:szCs w:val="22"/>
        </w:rPr>
        <w:t xml:space="preserve">Benoem opdracht 24.5e expliciet aan het eind, </w:t>
      </w:r>
      <w:r>
        <w:rPr>
          <w:color w:val="1F2937"/>
          <w:sz w:val="22"/>
          <w:szCs w:val="22"/>
        </w:rPr>
        <w:t xml:space="preserve">ook als u de opdracht niet doet. De parallelle berekening laat een verschil zien en het oude systeem blijkt fout — dat is niet langer een migratievraag.</w:t>
      </w:r>
    </w:p>
    <w:p>
      <w:pPr>
        <w:spacing w:after="160" w:line="276"/>
      </w:pPr>
      <w:r>
        <w:rPr>
          <w:color w:val="1F2937"/>
          <w:sz w:val="22"/>
          <w:szCs w:val="22"/>
        </w:rPr>
        <w:t xml:space="preserve">De volgorde van informeren is het leerpunt: eerst de opdrachtgever, dan de directie, dan compliance. Niet: eerst zelf uitzoeken hoe erg het is. Die verleiding is groot en zij kost de meldingstermijn.</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De oorlogsverhalen.</w:t>
      </w:r>
      <w:r>
        <w:rPr>
          <w:color w:val="1F2937"/>
          <w:sz w:val="22"/>
          <w:szCs w:val="22"/>
        </w:rPr>
        <w:t xml:space="preserve"> Dit deel roept ze op en zij zijn waardevol. Geef er ruimte in de terugkoppelingen en stuur met één vraag: welke van de vier strategieën was dat, en waar liep het op stuk? Dat maakt het leerzaam in plaats van anekdotisch.</w:t>
      </w:r>
    </w:p>
    <w:p>
      <w:pPr>
        <w:spacing w:after="160" w:line="276"/>
      </w:pPr>
      <w:r>
        <w:rPr>
          <w:b/>
          <w:bCs/>
          <w:color w:val="1F2937"/>
          <w:sz w:val="22"/>
          <w:szCs w:val="22"/>
        </w:rPr>
        <w:t xml:space="preserve">"Wij hebben nooit iets weggegooid."</w:t>
      </w:r>
      <w:r>
        <w:rPr>
          <w:color w:val="1F2937"/>
          <w:sz w:val="22"/>
          <w:szCs w:val="22"/>
        </w:rPr>
        <w:t xml:space="preserve"> Veelvoorkomend, en de vraag die volgt is of dat een besluit was. Meestal niet — en dan is slide 23 het argument: elk bewaard dossier is een dossier met zijn fouten erbij.</w:t>
      </w:r>
    </w:p>
    <w:p>
      <w:pPr>
        <w:spacing w:after="160" w:line="276"/>
      </w:pPr>
      <w:r>
        <w:rPr>
          <w:b/>
          <w:bCs/>
          <w:color w:val="1F2937"/>
          <w:sz w:val="22"/>
          <w:szCs w:val="22"/>
        </w:rPr>
        <w:t xml:space="preserve">De discussie over parallel draaien.</w:t>
      </w:r>
      <w:r>
        <w:rPr>
          <w:color w:val="1F2937"/>
          <w:sz w:val="22"/>
          <w:szCs w:val="22"/>
        </w:rPr>
        <w:t xml:space="preserve"> Iemand stelt dat het altijd zou moeten. Het weerwoord: dan gebeurt alles twee keer, inclusief de invoer, en dat is bij een lopende uitvoering operationeel niet vol te houden. Parallel draaien is voor de berekeningen waarvan een fout onherstelbaar is.</w:t>
      </w:r>
    </w:p>
    <w:p>
      <w:pPr>
        <w:spacing w:after="160" w:line="276"/>
      </w:pPr>
      <w:r>
        <w:rPr>
          <w:b/>
          <w:bCs/>
          <w:color w:val="1F2937"/>
          <w:sz w:val="22"/>
          <w:szCs w:val="22"/>
        </w:rPr>
        <w:t xml:space="preserve">Iemand vraagt naar migratiegereedschap.</w:t>
      </w:r>
      <w:r>
        <w:rPr>
          <w:color w:val="1F2937"/>
          <w:sz w:val="22"/>
          <w:szCs w:val="22"/>
        </w:rPr>
        <w:t xml:space="preserve"> Zelfde lijn als in deel 15: het gereedschap is secundair, en de vraag is welke gegevens problematisch zijn en wie daarover beslist.</w:t>
      </w:r>
    </w:p>
    <w:p>
      <w:pPr>
        <w:spacing w:after="160" w:line="276"/>
      </w:pPr>
      <w:r>
        <w:rPr>
          <w:b/>
          <w:bCs/>
          <w:color w:val="1F2937"/>
          <w:sz w:val="22"/>
          <w:szCs w:val="22"/>
        </w:rPr>
        <w:t xml:space="preserve">Deelnemers zonder migratie in hun opdracht.</w:t>
      </w:r>
      <w:r>
        <w:rPr>
          <w:color w:val="1F2937"/>
          <w:sz w:val="22"/>
          <w:szCs w:val="22"/>
        </w:rPr>
        <w:t xml:space="preserve"> Opdracht 24.7d is voor hen: welke gegevens zouden problematisch zijn als hun systeem morgen vervangen moest worden? Dat levert inzicht in de zwakke plekken van hun eigen ontwerp, en het is bruikbaar in het interview.</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5"/>
        </w:numPr>
        <w:spacing w:after="120"/>
      </w:pPr>
      <w:r>
        <w:rPr>
          <w:color w:val="1F2937"/>
          <w:sz w:val="22"/>
          <w:szCs w:val="22"/>
        </w:rPr>
        <w:t xml:space="preserve">Wie plaatst de moeilijkste categorie in de laatste tranche? Herhaalt de meest voorkomende planningsfout in deze sector.</w:t>
      </w:r>
    </w:p>
    <w:p>
      <w:pPr>
        <w:pStyle w:val="ListParagraph"/>
        <w:numPr>
          <w:ilvl w:val="0"/>
          <w:numId w:val="5"/>
        </w:numPr>
        <w:spacing w:after="120"/>
      </w:pPr>
      <w:r>
        <w:rPr>
          <w:color w:val="1F2937"/>
          <w:sz w:val="22"/>
          <w:szCs w:val="22"/>
        </w:rPr>
        <w:t xml:space="preserve">Wie maakt de rekensom bij 24.3d niet? Onderschat de beoordelingscapaciteit; dat is de factor waarop conversies stranden.</w:t>
      </w:r>
    </w:p>
    <w:p>
      <w:pPr>
        <w:pStyle w:val="ListParagraph"/>
        <w:numPr>
          <w:ilvl w:val="0"/>
          <w:numId w:val="5"/>
        </w:numPr>
        <w:spacing w:after="120"/>
      </w:pPr>
      <w:r>
        <w:rPr>
          <w:color w:val="1F2937"/>
          <w:sz w:val="22"/>
          <w:szCs w:val="22"/>
        </w:rPr>
        <w:t xml:space="preserve">Wie wil bij 24.5e eerst zelf uitzoeken hoe erg het is? Dit is het scherpste signaal voor deel 26 en 27, waar meldingsgedrag centraal staat.</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24</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b/>
          <w:bCs/>
          <w:color w:val="1F2937"/>
          <w:sz w:val="22"/>
          <w:szCs w:val="22"/>
        </w:rPr>
        <w:t xml:space="preserve">Bijlage CI:</w:t>
      </w:r>
      <w:r>
        <w:rPr>
          <w:color w:val="1F2937"/>
          <w:sz w:val="22"/>
          <w:szCs w:val="22"/>
        </w:rPr>
        <w:t xml:space="preserve"> de gegevensanalyse met de percentages per categorie — het materiaal voor de rekensom</w:t>
      </w:r>
    </w:p>
    <w:p>
      <w:pPr>
        <w:pStyle w:val="ListParagraph"/>
        <w:numPr>
          <w:ilvl w:val="0"/>
          <w:numId w:val="3"/>
        </w:numPr>
        <w:spacing w:after="100"/>
      </w:pPr>
      <w:r>
        <w:rPr>
          <w:color w:val="1F2937"/>
          <w:sz w:val="22"/>
          <w:szCs w:val="22"/>
        </w:rPr>
        <w:t xml:space="preserve">Bijlage CJ: werkgeversverdeling met omvang en dossiercomplexiteit</w:t>
      </w:r>
    </w:p>
    <w:p>
      <w:pPr>
        <w:pStyle w:val="ListParagraph"/>
        <w:numPr>
          <w:ilvl w:val="0"/>
          <w:numId w:val="3"/>
        </w:numPr>
        <w:spacing w:after="100"/>
      </w:pPr>
      <w:r>
        <w:rPr>
          <w:b/>
          <w:bCs/>
          <w:color w:val="1F2937"/>
          <w:sz w:val="22"/>
          <w:szCs w:val="22"/>
        </w:rPr>
        <w:t xml:space="preserve">Bijlage CK:</w:t>
      </w:r>
      <w:r>
        <w:rPr>
          <w:color w:val="1F2937"/>
          <w:sz w:val="22"/>
          <w:szCs w:val="22"/>
        </w:rPr>
        <w:t xml:space="preserve"> twaalf voorbeelddossiers, waarvan minstens vier met een besluit dat niet aan de architect is</w:t>
      </w:r>
    </w:p>
    <w:p>
      <w:pPr>
        <w:pStyle w:val="ListParagraph"/>
        <w:numPr>
          <w:ilvl w:val="0"/>
          <w:numId w:val="3"/>
        </w:numPr>
        <w:spacing w:after="100"/>
      </w:pPr>
      <w:r>
        <w:rPr>
          <w:color w:val="1F2937"/>
          <w:sz w:val="22"/>
          <w:szCs w:val="22"/>
        </w:rPr>
        <w:t xml:space="preserve">Bijlage CL: het conversieverslag met de zes jaar doordraaiende legacy</w:t>
      </w:r>
    </w:p>
    <w:p>
      <w:pPr>
        <w:pStyle w:val="ListParagraph"/>
        <w:numPr>
          <w:ilvl w:val="0"/>
          <w:numId w:val="3"/>
        </w:numPr>
        <w:spacing w:after="100"/>
      </w:pPr>
      <w:r>
        <w:rPr>
          <w:color w:val="1F2937"/>
          <w:sz w:val="22"/>
          <w:szCs w:val="22"/>
        </w:rPr>
        <w:t xml:space="preserve">De conceptversies van de certificeringsopdrachten</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25 behandelt trade-offs onder druk: wat doet u als twee eisen elkaar uitsluiten en de deadline niet verschuift. De brug: we hebben nu een migratieplan met tranches, meetmomenten en acceptatiecriteria. Wat er in de praktijk gebeurt, is dat tranche twee de criteria niet haalt terwijl de wettelijke deadline nadert. Dan botsen zorgvuldigheid en tijdigheid, en beide zijn hard. Volgende keer: hoe maakt u zo'n afweging, en hoe legt u haar voor aan mensen die allebei willen?</w:t>
      </w:r>
    </w:p>
    <w:p>
      <w:pPr>
        <w:pBdr>
          <w:top w:val="single" w:color="E5E7EB" w:sz="4" w:space="8"/>
        </w:pBdr>
        <w:spacing w:before="400"/>
        <w:jc w:val="center"/>
      </w:pPr>
      <w:r>
        <w:rPr>
          <w:i/>
          <w:iCs/>
          <w:color w:val="6B7280"/>
          <w:sz w:val="17"/>
          <w:szCs w:val="17"/>
        </w:rPr>
        <w:t xml:space="preserve">Ductus B.V. · Cursus Softwarearchitectuur · Niveau 3, deel 24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2026-08-17T19:38:47.949Z</dcterms:created>
  <dcterms:modified xsi:type="dcterms:W3CDTF">2026-08-17T19:38:47.950Z</dcterms:modified>
</cp:coreProperties>
</file>

<file path=docProps/custom.xml><?xml version="1.0" encoding="utf-8"?>
<Properties xmlns="http://schemas.openxmlformats.org/officeDocument/2006/custom-properties" xmlns:vt="http://schemas.openxmlformats.org/officeDocument/2006/docPropsVTypes"/>
</file>