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26 — Verdedigbaar stoppen en melden</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3 (CPSA-A certificeringstraject) · Deel 26 van 28</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Dit is het meest persoonlijke deel van de hele cursus. Waar deel 25 ging over het voorleggen van een afweging, gaat dit deel over het moment daarvoor: weet u het al, en zegt u het al?</w:t>
      </w:r>
    </w:p>
    <w:p>
      <w:pPr>
        <w:spacing w:after="160" w:line="276"/>
      </w:pPr>
      <w:r>
        <w:rPr>
          <w:b/>
          <w:bCs/>
          <w:color w:val="1F2937"/>
          <w:sz w:val="22"/>
          <w:szCs w:val="22"/>
        </w:rPr>
        <w:t xml:space="preserve">Drie dingen dragen dit deel:</w:t>
      </w:r>
      <w:r>
        <w:rPr>
          <w:color w:val="1F2937"/>
          <w:sz w:val="22"/>
          <w:szCs w:val="22"/>
        </w:rPr>
        <w:t xml:space="preserve"/>
      </w:r>
    </w:p>
    <w:p>
      <w:pPr>
        <w:pStyle w:val="ListParagraph"/>
        <w:numPr>
          <w:ilvl w:val="0"/>
          <w:numId w:val="2"/>
        </w:numPr>
        <w:spacing w:after="120"/>
      </w:pPr>
      <w:r>
        <w:rPr>
          <w:b/>
          <w:bCs/>
          <w:color w:val="1F2937"/>
          <w:sz w:val="22"/>
          <w:szCs w:val="22"/>
        </w:rPr>
        <w:t xml:space="preserve">Zwijgen is nooit geldig.</w:t>
      </w:r>
      <w:r>
        <w:rPr>
          <w:color w:val="1F2937"/>
          <w:sz w:val="22"/>
          <w:szCs w:val="22"/>
        </w:rPr>
        <w:t xml:space="preserve"> Dat is de enige absolute regel in een cursus die verder bijna overal met "het hangt ervan af" werkt. Zeg dat expliciet — het contrast met de rest van de cursus maakt het gewicht ervan voelbaar.</w:t>
      </w:r>
    </w:p>
    <w:p>
      <w:pPr>
        <w:pStyle w:val="ListParagraph"/>
        <w:numPr>
          <w:ilvl w:val="0"/>
          <w:numId w:val="2"/>
        </w:numPr>
        <w:spacing w:after="120"/>
      </w:pPr>
      <w:r>
        <w:rPr>
          <w:b/>
          <w:bCs/>
          <w:color w:val="1F2937"/>
          <w:sz w:val="22"/>
          <w:szCs w:val="22"/>
        </w:rPr>
        <w:t xml:space="preserve">De verzonken-kostenredenering.</w:t>
      </w:r>
      <w:r>
        <w:rPr>
          <w:color w:val="1F2937"/>
          <w:sz w:val="22"/>
          <w:szCs w:val="22"/>
        </w:rPr>
        <w:t xml:space="preserve"> Dit is bekende gedragseconomie en zij is hier toegepast op een concreet geval. Het is één ding het principe te kennen; het is iets anders zes weken planning die er twee werden voor uw neus te hebben en toch naar voren te kijken.</w:t>
      </w:r>
    </w:p>
    <w:p>
      <w:pPr>
        <w:pStyle w:val="ListParagraph"/>
        <w:numPr>
          <w:ilvl w:val="0"/>
          <w:numId w:val="2"/>
        </w:numPr>
        <w:spacing w:after="120"/>
      </w:pPr>
      <w:r>
        <w:rPr>
          <w:b/>
          <w:bCs/>
          <w:color w:val="1F2937"/>
          <w:sz w:val="22"/>
          <w:szCs w:val="22"/>
        </w:rPr>
        <w:t xml:space="preserve">De anatomie van het stopadvies.</w:t>
      </w:r>
      <w:r>
        <w:rPr>
          <w:color w:val="1F2937"/>
          <w:sz w:val="22"/>
          <w:szCs w:val="22"/>
        </w:rPr>
        <w:t xml:space="preserve"> Het meest overdraagbare instrument van het deel: vier onderdelen in een vaste volgorde, en de volgorde doet het werk. Opdracht 26.3e maakt dat voelbaar in plaats van uitgelegd.</w:t>
      </w:r>
    </w:p>
    <w:p>
      <w:pPr>
        <w:spacing w:after="160" w:line="276"/>
      </w:pPr>
      <w:r>
        <w:rPr>
          <w:b/>
          <w:bCs/>
          <w:color w:val="1F2937"/>
          <w:sz w:val="22"/>
          <w:szCs w:val="22"/>
        </w:rPr>
        <w:t xml:space="preserve">Waarschuwing over toon. </w:t>
      </w:r>
      <w:r>
        <w:rPr>
          <w:color w:val="1F2937"/>
          <w:sz w:val="22"/>
          <w:szCs w:val="22"/>
        </w:rPr>
        <w:t xml:space="preserve">Dit deel kan makkelijk moraliserend worden. Vermijd dat door bij elke stelling terug te grijpen op het concrete geval — de 1.440 dossiers, de twee van de zes weken, de drie rapportages — in plaats van in algemeenheden te blijven hangen.</w:t>
      </w:r>
    </w:p>
    <w:p>
      <w:pPr>
        <w:pStyle w:val="Heading1"/>
        <w:pBdr>
          <w:bottom w:val="single" w:color="E5E7EB" w:sz="6" w:space="6"/>
        </w:pBdr>
        <w:spacing w:after="180" w:before="380"/>
      </w:pPr>
      <w:r>
        <w:rPr>
          <w:b/>
          <w:bCs/>
          <w:color w:val="1F3A5F"/>
          <w:sz w:val="30"/>
          <w:szCs w:val="30"/>
        </w:rPr>
        <w:t xml:space="preserve">2. Dagdeelplanning (4 uur, twee pauzes)</w:t>
      </w:r>
    </w:p>
    <w:tbl>
      <w:tblPr>
        <w:tblW w:type="dxa" w:w="100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900"/>
        <w:gridCol w:w="2400"/>
        <w:gridCol w:w="1238"/>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9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4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238"/>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0:00–0:15</w:t>
            </w:r>
          </w:p>
        </w:tc>
        <w:tc>
          <w:tcPr>
            <w:tcW w:type="dxa" w:w="4900"/>
            <w:tcMar>
              <w:top w:type="dxa" w:w="100"/>
              <w:left w:type="dxa" w:w="120"/>
              <w:bottom w:type="dxa" w:w="100"/>
              <w:right w:type="dxa" w:w="120"/>
            </w:tcMar>
            <w:vAlign w:val="center"/>
          </w:tcPr>
          <w:p>
            <w:r>
              <w:rPr>
                <w:b w:val="false"/>
                <w:bCs w:val="false"/>
                <w:color w:val="1F2937"/>
                <w:sz w:val="19"/>
                <w:szCs w:val="19"/>
              </w:rPr>
              <w:t xml:space="preserve">Het naloopwerk loopt vast</w:t>
            </w:r>
          </w:p>
        </w:tc>
        <w:tc>
          <w:tcPr>
            <w:tcW w:type="dxa" w:w="24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238"/>
            <w:tcMar>
              <w:top w:type="dxa" w:w="100"/>
              <w:left w:type="dxa" w:w="120"/>
              <w:bottom w:type="dxa" w:w="100"/>
              <w:right w:type="dxa" w:w="120"/>
            </w:tcMar>
            <w:vAlign w:val="center"/>
          </w:tcPr>
          <w:p>
            <w:r>
              <w:rPr>
                <w:b w:val="false"/>
                <w:bCs w:val="false"/>
                <w:color w:val="1F2937"/>
                <w:sz w:val="19"/>
                <w:szCs w:val="19"/>
              </w:rPr>
              <w:t xml:space="preserve">2–3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0:15–0:35</w:t>
            </w:r>
          </w:p>
        </w:tc>
        <w:tc>
          <w:tcPr>
            <w:tcW w:type="dxa" w:w="4900"/>
            <w:tcMar>
              <w:top w:type="dxa" w:w="100"/>
              <w:left w:type="dxa" w:w="120"/>
              <w:bottom w:type="dxa" w:w="100"/>
              <w:right w:type="dxa" w:w="120"/>
            </w:tcMar>
            <w:vAlign w:val="center"/>
          </w:tcPr>
          <w:p>
            <w:r>
              <w:rPr>
                <w:b w:val="false"/>
                <w:bCs w:val="false"/>
                <w:color w:val="1F2937"/>
                <w:sz w:val="19"/>
                <w:szCs w:val="19"/>
              </w:rPr>
              <w:t xml:space="preserve">Mandaat, invloed, zwijgen</w:t>
            </w:r>
          </w:p>
        </w:tc>
        <w:tc>
          <w:tcPr>
            <w:tcW w:type="dxa" w:w="24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238"/>
            <w:tcMar>
              <w:top w:type="dxa" w:w="100"/>
              <w:left w:type="dxa" w:w="120"/>
              <w:bottom w:type="dxa" w:w="100"/>
              <w:right w:type="dxa" w:w="120"/>
            </w:tcMar>
            <w:vAlign w:val="center"/>
          </w:tcPr>
          <w:p>
            <w:r>
              <w:rPr>
                <w:b w:val="false"/>
                <w:bCs w:val="false"/>
                <w:color w:val="1F2937"/>
                <w:sz w:val="19"/>
                <w:szCs w:val="19"/>
              </w:rPr>
              <w:t xml:space="preserve">4–7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0:35–0:55</w:t>
            </w:r>
          </w:p>
        </w:tc>
        <w:tc>
          <w:tcPr>
            <w:tcW w:type="dxa" w:w="4900"/>
            <w:tcMar>
              <w:top w:type="dxa" w:w="100"/>
              <w:left w:type="dxa" w:w="120"/>
              <w:bottom w:type="dxa" w:w="100"/>
              <w:right w:type="dxa" w:w="120"/>
            </w:tcMar>
            <w:vAlign w:val="center"/>
          </w:tcPr>
          <w:p>
            <w:r>
              <w:rPr>
                <w:b w:val="false"/>
                <w:bCs w:val="false"/>
                <w:color w:val="1F2937"/>
                <w:sz w:val="19"/>
                <w:szCs w:val="19"/>
              </w:rPr>
              <w:t xml:space="preserve">Opdracht 26.1 — mandaat, invloed of zwijgen?</w:t>
            </w:r>
          </w:p>
        </w:tc>
        <w:tc>
          <w:tcPr>
            <w:tcW w:type="dxa" w:w="2400"/>
            <w:tcMar>
              <w:top w:type="dxa" w:w="100"/>
              <w:left w:type="dxa" w:w="120"/>
              <w:bottom w:type="dxa" w:w="100"/>
              <w:right w:type="dxa" w:w="120"/>
            </w:tcMar>
            <w:vAlign w:val="center"/>
          </w:tcPr>
          <w:p>
            <w:r>
              <w:rPr>
                <w:b w:val="false"/>
                <w:bCs w:val="false"/>
                <w:color w:val="1F2937"/>
                <w:sz w:val="19"/>
                <w:szCs w:val="19"/>
              </w:rPr>
              <w:t xml:space="preserve">individueel + plenair</w:t>
            </w:r>
          </w:p>
        </w:tc>
        <w:tc>
          <w:tcPr>
            <w:tcW w:type="dxa" w:w="1238"/>
            <w:tcMar>
              <w:top w:type="dxa" w:w="100"/>
              <w:left w:type="dxa" w:w="120"/>
              <w:bottom w:type="dxa" w:w="100"/>
              <w:right w:type="dxa" w:w="120"/>
            </w:tcMar>
            <w:vAlign w:val="center"/>
          </w:tcPr>
          <w:p>
            <w:r>
              <w:rPr>
                <w:b w:val="false"/>
                <w:bCs w:val="false"/>
                <w:color w:val="1F2937"/>
                <w:sz w:val="19"/>
                <w:szCs w:val="19"/>
              </w:rPr>
              <w:t xml:space="preserve">8</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0:55–1:05</w:t>
            </w:r>
          </w:p>
        </w:tc>
        <w:tc>
          <w:tcPr>
            <w:tcW w:type="dxa" w:w="4900"/>
            <w:tcMar>
              <w:top w:type="dxa" w:w="100"/>
              <w:left w:type="dxa" w:w="120"/>
              <w:bottom w:type="dxa" w:w="100"/>
              <w:right w:type="dxa" w:w="120"/>
            </w:tcMar>
            <w:vAlign w:val="center"/>
          </w:tcPr>
          <w:p>
            <w:r>
              <w:rPr>
                <w:b w:val="false"/>
                <w:bCs w:val="false"/>
                <w:color w:val="1F2937"/>
                <w:sz w:val="19"/>
                <w:szCs w:val="19"/>
              </w:rPr>
              <w:t xml:space="preserve">Pauze</w:t>
            </w:r>
          </w:p>
        </w:tc>
        <w:tc>
          <w:tcPr>
            <w:tcW w:type="dxa" w:w="2400"/>
            <w:tcMar>
              <w:top w:type="dxa" w:w="100"/>
              <w:left w:type="dxa" w:w="120"/>
              <w:bottom w:type="dxa" w:w="100"/>
              <w:right w:type="dxa" w:w="120"/>
            </w:tcMar>
            <w:vAlign w:val="center"/>
          </w:tcPr>
          <w:p>
            <w:r>
              <w:rPr>
                <w:b w:val="false"/>
                <w:bCs w:val="false"/>
                <w:color w:val="1F2937"/>
                <w:sz w:val="19"/>
                <w:szCs w:val="19"/>
              </w:rPr>
              <w:t xml:space="preserve"/>
            </w:r>
          </w:p>
        </w:tc>
        <w:tc>
          <w:tcPr>
            <w:tcW w:type="dxa" w:w="12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1:05–1:25</w:t>
            </w:r>
          </w:p>
        </w:tc>
        <w:tc>
          <w:tcPr>
            <w:tcW w:type="dxa" w:w="4900"/>
            <w:tcMar>
              <w:top w:type="dxa" w:w="100"/>
              <w:left w:type="dxa" w:w="120"/>
              <w:bottom w:type="dxa" w:w="100"/>
              <w:right w:type="dxa" w:w="120"/>
            </w:tcMar>
            <w:vAlign w:val="center"/>
          </w:tcPr>
          <w:p>
            <w:r>
              <w:rPr>
                <w:b w:val="false"/>
                <w:bCs w:val="false"/>
                <w:color w:val="1F2937"/>
                <w:sz w:val="19"/>
                <w:szCs w:val="19"/>
              </w:rPr>
              <w:t xml:space="preserve">Verzonken kosten en prioriteren op bijdrage</w:t>
            </w:r>
          </w:p>
        </w:tc>
        <w:tc>
          <w:tcPr>
            <w:tcW w:type="dxa" w:w="24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238"/>
            <w:tcMar>
              <w:top w:type="dxa" w:w="100"/>
              <w:left w:type="dxa" w:w="120"/>
              <w:bottom w:type="dxa" w:w="100"/>
              <w:right w:type="dxa" w:w="120"/>
            </w:tcMar>
            <w:vAlign w:val="center"/>
          </w:tcPr>
          <w:p>
            <w:r>
              <w:rPr>
                <w:b w:val="false"/>
                <w:bCs w:val="false"/>
                <w:color w:val="1F2937"/>
                <w:sz w:val="19"/>
                <w:szCs w:val="19"/>
              </w:rPr>
              <w:t xml:space="preserve">9–11</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1:25–1:50</w:t>
            </w:r>
          </w:p>
        </w:tc>
        <w:tc>
          <w:tcPr>
            <w:tcW w:type="dxa" w:w="4900"/>
            <w:tcMar>
              <w:top w:type="dxa" w:w="100"/>
              <w:left w:type="dxa" w:w="120"/>
              <w:bottom w:type="dxa" w:w="100"/>
              <w:right w:type="dxa" w:w="120"/>
            </w:tcMar>
            <w:vAlign w:val="center"/>
          </w:tcPr>
          <w:p>
            <w:r>
              <w:rPr>
                <w:b w:val="false"/>
                <w:bCs w:val="false"/>
                <w:color w:val="1F2937"/>
                <w:sz w:val="19"/>
                <w:szCs w:val="19"/>
              </w:rPr>
              <w:t xml:space="preserve">Opdracht 26.2 — de verzonken kosten herkennen</w:t>
            </w:r>
          </w:p>
        </w:tc>
        <w:tc>
          <w:tcPr>
            <w:tcW w:type="dxa" w:w="2400"/>
            <w:tcMar>
              <w:top w:type="dxa" w:w="100"/>
              <w:left w:type="dxa" w:w="120"/>
              <w:bottom w:type="dxa" w:w="100"/>
              <w:right w:type="dxa" w:w="120"/>
            </w:tcMar>
            <w:vAlign w:val="center"/>
          </w:tcPr>
          <w:p>
            <w:r>
              <w:rPr>
                <w:b w:val="false"/>
                <w:bCs w:val="false"/>
                <w:color w:val="1F2937"/>
                <w:sz w:val="19"/>
                <w:szCs w:val="19"/>
              </w:rPr>
              <w:t xml:space="preserve">duo's + plenair</w:t>
            </w:r>
          </w:p>
        </w:tc>
        <w:tc>
          <w:tcPr>
            <w:tcW w:type="dxa" w:w="1238"/>
            <w:tcMar>
              <w:top w:type="dxa" w:w="100"/>
              <w:left w:type="dxa" w:w="120"/>
              <w:bottom w:type="dxa" w:w="100"/>
              <w:right w:type="dxa" w:w="120"/>
            </w:tcMar>
            <w:vAlign w:val="center"/>
          </w:tcPr>
          <w:p>
            <w:r>
              <w:rPr>
                <w:b w:val="false"/>
                <w:bCs w:val="false"/>
                <w:color w:val="1F2937"/>
                <w:sz w:val="19"/>
                <w:szCs w:val="19"/>
              </w:rPr>
              <w:t xml:space="preserve">12</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1:50–2:10</w:t>
            </w:r>
          </w:p>
        </w:tc>
        <w:tc>
          <w:tcPr>
            <w:tcW w:type="dxa" w:w="4900"/>
            <w:tcMar>
              <w:top w:type="dxa" w:w="100"/>
              <w:left w:type="dxa" w:w="120"/>
              <w:bottom w:type="dxa" w:w="100"/>
              <w:right w:type="dxa" w:w="120"/>
            </w:tcMar>
            <w:vAlign w:val="center"/>
          </w:tcPr>
          <w:p>
            <w:r>
              <w:rPr>
                <w:b w:val="false"/>
                <w:bCs w:val="false"/>
                <w:color w:val="1F2937"/>
                <w:sz w:val="19"/>
                <w:szCs w:val="19"/>
              </w:rPr>
              <w:t xml:space="preserve">De anatomie van een stopadvies</w:t>
            </w:r>
          </w:p>
        </w:tc>
        <w:tc>
          <w:tcPr>
            <w:tcW w:type="dxa" w:w="24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238"/>
            <w:tcMar>
              <w:top w:type="dxa" w:w="100"/>
              <w:left w:type="dxa" w:w="120"/>
              <w:bottom w:type="dxa" w:w="100"/>
              <w:right w:type="dxa" w:w="120"/>
            </w:tcMar>
            <w:vAlign w:val="center"/>
          </w:tcPr>
          <w:p>
            <w:r>
              <w:rPr>
                <w:b w:val="false"/>
                <w:bCs w:val="false"/>
                <w:color w:val="1F2937"/>
                <w:sz w:val="19"/>
                <w:szCs w:val="19"/>
              </w:rPr>
              <w:t xml:space="preserve">13–15</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2:10–2:45</w:t>
            </w:r>
          </w:p>
        </w:tc>
        <w:tc>
          <w:tcPr>
            <w:tcW w:type="dxa" w:w="4900"/>
            <w:tcMar>
              <w:top w:type="dxa" w:w="100"/>
              <w:left w:type="dxa" w:w="120"/>
              <w:bottom w:type="dxa" w:w="100"/>
              <w:right w:type="dxa" w:w="120"/>
            </w:tcMar>
            <w:vAlign w:val="center"/>
          </w:tcPr>
          <w:p>
            <w:r>
              <w:rPr>
                <w:b w:val="false"/>
                <w:bCs w:val="false"/>
                <w:color w:val="1F2937"/>
                <w:sz w:val="19"/>
                <w:szCs w:val="19"/>
              </w:rPr>
              <w:t xml:space="preserve">Opdracht 26.3 — het stopadvies opbouwen</w:t>
            </w:r>
          </w:p>
        </w:tc>
        <w:tc>
          <w:tcPr>
            <w:tcW w:type="dxa" w:w="24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238"/>
            <w:tcMar>
              <w:top w:type="dxa" w:w="100"/>
              <w:left w:type="dxa" w:w="120"/>
              <w:bottom w:type="dxa" w:w="100"/>
              <w:right w:type="dxa" w:w="120"/>
            </w:tcMar>
            <w:vAlign w:val="center"/>
          </w:tcPr>
          <w:p>
            <w:r>
              <w:rPr>
                <w:b w:val="false"/>
                <w:bCs w:val="false"/>
                <w:color w:val="1F2937"/>
                <w:sz w:val="19"/>
                <w:szCs w:val="19"/>
              </w:rPr>
              <w:t xml:space="preserve">16</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2:45–2:55</w:t>
            </w:r>
          </w:p>
        </w:tc>
        <w:tc>
          <w:tcPr>
            <w:tcW w:type="dxa" w:w="4900"/>
            <w:tcMar>
              <w:top w:type="dxa" w:w="100"/>
              <w:left w:type="dxa" w:w="120"/>
              <w:bottom w:type="dxa" w:w="100"/>
              <w:right w:type="dxa" w:w="120"/>
            </w:tcMar>
            <w:vAlign w:val="center"/>
          </w:tcPr>
          <w:p>
            <w:r>
              <w:rPr>
                <w:b w:val="false"/>
                <w:bCs w:val="false"/>
                <w:color w:val="1F2937"/>
                <w:sz w:val="19"/>
                <w:szCs w:val="19"/>
              </w:rPr>
              <w:t xml:space="preserve">Pauze</w:t>
            </w:r>
          </w:p>
        </w:tc>
        <w:tc>
          <w:tcPr>
            <w:tcW w:type="dxa" w:w="2400"/>
            <w:tcMar>
              <w:top w:type="dxa" w:w="100"/>
              <w:left w:type="dxa" w:w="120"/>
              <w:bottom w:type="dxa" w:w="100"/>
              <w:right w:type="dxa" w:w="120"/>
            </w:tcMar>
            <w:vAlign w:val="center"/>
          </w:tcPr>
          <w:p>
            <w:r>
              <w:rPr>
                <w:b w:val="false"/>
                <w:bCs w:val="false"/>
                <w:color w:val="1F2937"/>
                <w:sz w:val="19"/>
                <w:szCs w:val="19"/>
              </w:rPr>
              <w:t xml:space="preserve"/>
            </w:r>
          </w:p>
        </w:tc>
        <w:tc>
          <w:tcPr>
            <w:tcW w:type="dxa" w:w="12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2:55–3:20</w:t>
            </w:r>
          </w:p>
        </w:tc>
        <w:tc>
          <w:tcPr>
            <w:tcW w:type="dxa" w:w="4900"/>
            <w:tcMar>
              <w:top w:type="dxa" w:w="100"/>
              <w:left w:type="dxa" w:w="120"/>
              <w:bottom w:type="dxa" w:w="100"/>
              <w:right w:type="dxa" w:w="120"/>
            </w:tcMar>
            <w:vAlign w:val="center"/>
          </w:tcPr>
          <w:p>
            <w:r>
              <w:rPr>
                <w:b w:val="false"/>
                <w:bCs w:val="false"/>
                <w:color w:val="1F2937"/>
                <w:sz w:val="19"/>
                <w:szCs w:val="19"/>
              </w:rPr>
              <w:t xml:space="preserve">Legitiem optimistisch of misleidend</w:t>
            </w:r>
          </w:p>
        </w:tc>
        <w:tc>
          <w:tcPr>
            <w:tcW w:type="dxa" w:w="24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238"/>
            <w:tcMar>
              <w:top w:type="dxa" w:w="100"/>
              <w:left w:type="dxa" w:w="120"/>
              <w:bottom w:type="dxa" w:w="100"/>
              <w:right w:type="dxa" w:w="120"/>
            </w:tcMar>
            <w:vAlign w:val="center"/>
          </w:tcPr>
          <w:p>
            <w:r>
              <w:rPr>
                <w:b w:val="false"/>
                <w:bCs w:val="false"/>
                <w:color w:val="1F2937"/>
                <w:sz w:val="19"/>
                <w:szCs w:val="19"/>
              </w:rPr>
              <w:t xml:space="preserve">17–20</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3:20–3:40</w:t>
            </w:r>
          </w:p>
        </w:tc>
        <w:tc>
          <w:tcPr>
            <w:tcW w:type="dxa" w:w="4900"/>
            <w:tcMar>
              <w:top w:type="dxa" w:w="100"/>
              <w:left w:type="dxa" w:w="120"/>
              <w:bottom w:type="dxa" w:w="100"/>
              <w:right w:type="dxa" w:w="120"/>
            </w:tcMar>
            <w:vAlign w:val="center"/>
          </w:tcPr>
          <w:p>
            <w:r>
              <w:rPr>
                <w:b w:val="false"/>
                <w:bCs w:val="false"/>
                <w:color w:val="1F2937"/>
                <w:sz w:val="19"/>
                <w:szCs w:val="19"/>
              </w:rPr>
              <w:t xml:space="preserve">Opdracht 26.4 — legitiem of misleidend?</w:t>
            </w:r>
          </w:p>
        </w:tc>
        <w:tc>
          <w:tcPr>
            <w:tcW w:type="dxa" w:w="2400"/>
            <w:tcMar>
              <w:top w:type="dxa" w:w="100"/>
              <w:left w:type="dxa" w:w="120"/>
              <w:bottom w:type="dxa" w:w="100"/>
              <w:right w:type="dxa" w:w="120"/>
            </w:tcMar>
            <w:vAlign w:val="center"/>
          </w:tcPr>
          <w:p>
            <w:r>
              <w:rPr>
                <w:b w:val="false"/>
                <w:bCs w:val="false"/>
                <w:color w:val="1F2937"/>
                <w:sz w:val="19"/>
                <w:szCs w:val="19"/>
              </w:rPr>
              <w:t xml:space="preserve">individueel</w:t>
            </w:r>
          </w:p>
        </w:tc>
        <w:tc>
          <w:tcPr>
            <w:tcW w:type="dxa" w:w="1238"/>
            <w:tcMar>
              <w:top w:type="dxa" w:w="100"/>
              <w:left w:type="dxa" w:w="120"/>
              <w:bottom w:type="dxa" w:w="100"/>
              <w:right w:type="dxa" w:w="120"/>
            </w:tcMar>
            <w:vAlign w:val="center"/>
          </w:tcPr>
          <w:p>
            <w:r>
              <w:rPr>
                <w:b w:val="false"/>
                <w:bCs w:val="false"/>
                <w:color w:val="1F2937"/>
                <w:sz w:val="19"/>
                <w:szCs w:val="19"/>
              </w:rPr>
              <w:t xml:space="preserve">21</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3:40–3:55</w:t>
            </w:r>
          </w:p>
        </w:tc>
        <w:tc>
          <w:tcPr>
            <w:tcW w:type="dxa" w:w="4900"/>
            <w:tcMar>
              <w:top w:type="dxa" w:w="100"/>
              <w:left w:type="dxa" w:w="120"/>
              <w:bottom w:type="dxa" w:w="100"/>
              <w:right w:type="dxa" w:w="120"/>
            </w:tcMar>
            <w:vAlign w:val="center"/>
          </w:tcPr>
          <w:p>
            <w:r>
              <w:rPr>
                <w:b w:val="false"/>
                <w:bCs w:val="false"/>
                <w:color w:val="1F2937"/>
                <w:sz w:val="19"/>
                <w:szCs w:val="19"/>
              </w:rPr>
              <w:t xml:space="preserve">Wanneer niemand het wil horen</w:t>
            </w:r>
          </w:p>
        </w:tc>
        <w:tc>
          <w:tcPr>
            <w:tcW w:type="dxa" w:w="24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238"/>
            <w:tcMar>
              <w:top w:type="dxa" w:w="100"/>
              <w:left w:type="dxa" w:w="120"/>
              <w:bottom w:type="dxa" w:w="100"/>
              <w:right w:type="dxa" w:w="120"/>
            </w:tcMar>
            <w:vAlign w:val="center"/>
          </w:tcPr>
          <w:p>
            <w:r>
              <w:rPr>
                <w:b w:val="false"/>
                <w:bCs w:val="false"/>
                <w:color w:val="1F2937"/>
                <w:sz w:val="19"/>
                <w:szCs w:val="19"/>
              </w:rPr>
              <w:t xml:space="preserve">22–24</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3:55–4:00</w:t>
            </w:r>
          </w:p>
        </w:tc>
        <w:tc>
          <w:tcPr>
            <w:tcW w:type="dxa" w:w="4900"/>
            <w:tcMar>
              <w:top w:type="dxa" w:w="100"/>
              <w:left w:type="dxa" w:w="120"/>
              <w:bottom w:type="dxa" w:w="100"/>
              <w:right w:type="dxa" w:w="120"/>
            </w:tcMar>
            <w:vAlign w:val="center"/>
          </w:tcPr>
          <w:p>
            <w:r>
              <w:rPr>
                <w:b w:val="false"/>
                <w:bCs w:val="false"/>
                <w:color w:val="1F2937"/>
                <w:sz w:val="19"/>
                <w:szCs w:val="19"/>
              </w:rPr>
              <w:t xml:space="preserve">De grens van uw verantwoordelijkheid; huiswerk</w:t>
            </w:r>
          </w:p>
        </w:tc>
        <w:tc>
          <w:tcPr>
            <w:tcW w:type="dxa" w:w="24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238"/>
            <w:tcMar>
              <w:top w:type="dxa" w:w="100"/>
              <w:left w:type="dxa" w:w="120"/>
              <w:bottom w:type="dxa" w:w="100"/>
              <w:right w:type="dxa" w:w="120"/>
            </w:tcMar>
            <w:vAlign w:val="center"/>
          </w:tcPr>
          <w:p>
            <w:r>
              <w:rPr>
                <w:b w:val="false"/>
                <w:bCs w:val="false"/>
                <w:color w:val="1F2937"/>
                <w:sz w:val="19"/>
                <w:szCs w:val="19"/>
              </w:rPr>
              <w:t xml:space="preserve">25–26</w:t>
            </w:r>
          </w:p>
        </w:tc>
      </w:tr>
    </w:tbl>
    <w:p>
      <w:pPr>
        <w:spacing w:after="300"/>
      </w:pPr>
    </w:p>
    <w:p>
      <w:pPr>
        <w:spacing w:after="160" w:line="276"/>
      </w:pPr>
      <w:r>
        <w:rPr>
          <w:b/>
          <w:bCs/>
          <w:color w:val="1F2937"/>
          <w:sz w:val="22"/>
          <w:szCs w:val="22"/>
        </w:rPr>
        <w:t xml:space="preserve">Opdracht 26.5 (het rollenspel) en 26.6 (vier sectorcasussen) staan niet allebei in deze planning </w:t>
      </w:r>
      <w:r>
        <w:rPr>
          <w:color w:val="1F2937"/>
          <w:sz w:val="22"/>
          <w:szCs w:val="22"/>
        </w:rPr>
        <w:t xml:space="preserve">— er is te veel materiaal voor één dagdeel als u ze beide volledig doet.</w:t>
      </w:r>
    </w:p>
    <w:p>
      <w:pPr>
        <w:pStyle w:val="ListParagraph"/>
        <w:numPr>
          <w:ilvl w:val="0"/>
          <w:numId w:val="3"/>
        </w:numPr>
        <w:spacing w:after="100"/>
      </w:pPr>
      <w:r>
        <w:rPr>
          <w:b/>
          <w:bCs/>
          <w:color w:val="1F2937"/>
          <w:sz w:val="22"/>
          <w:szCs w:val="22"/>
        </w:rPr>
        <w:t xml:space="preserve">Doe 26.5 volledig</w:t>
      </w:r>
      <w:r>
        <w:rPr>
          <w:color w:val="1F2937"/>
          <w:sz w:val="22"/>
          <w:szCs w:val="22"/>
        </w:rPr>
        <w:t xml:space="preserve"> bij de meeste groepen; het is de sterkste oefening van het deel.</w:t>
      </w:r>
    </w:p>
    <w:p>
      <w:pPr>
        <w:pStyle w:val="ListParagraph"/>
        <w:numPr>
          <w:ilvl w:val="0"/>
          <w:numId w:val="3"/>
        </w:numPr>
        <w:spacing w:after="100"/>
      </w:pPr>
      <w:r>
        <w:rPr>
          <w:b/>
          <w:bCs/>
          <w:color w:val="1F2937"/>
          <w:sz w:val="22"/>
          <w:szCs w:val="22"/>
        </w:rPr>
        <w:t xml:space="preserve">Vervang 26.4 door 26.6</w:t>
      </w:r>
      <w:r>
        <w:rPr>
          <w:color w:val="1F2937"/>
          <w:sz w:val="22"/>
          <w:szCs w:val="22"/>
        </w:rPr>
        <w:t xml:space="preserve"> bij groepen met veel praktijkervaring; de sectorcasussen resoneren dan sterker dan de geconstrueerde rapportages.</w:t>
      </w:r>
    </w:p>
    <w:p>
      <w:pPr>
        <w:pStyle w:val="ListParagraph"/>
        <w:numPr>
          <w:ilvl w:val="0"/>
          <w:numId w:val="3"/>
        </w:numPr>
        <w:spacing w:after="100"/>
      </w:pPr>
      <w:r>
        <w:rPr>
          <w:b/>
          <w:bCs/>
          <w:color w:val="1F2937"/>
          <w:sz w:val="22"/>
          <w:szCs w:val="22"/>
        </w:rPr>
        <w:t xml:space="preserve">Bij 4,5 uur:</w:t>
      </w:r>
      <w:r>
        <w:rPr>
          <w:color w:val="1F2937"/>
          <w:sz w:val="22"/>
          <w:szCs w:val="22"/>
        </w:rPr>
        <w:t xml:space="preserve"> beide, met opdracht 26.2 ingekort tot 15 minuten.</w:t>
      </w:r>
    </w:p>
    <w:p>
      <w:pPr>
        <w:spacing w:after="160" w:line="276"/>
      </w:pPr>
      <w:r>
        <w:rPr>
          <w:b/>
          <w:bCs/>
          <w:color w:val="1F2937"/>
          <w:sz w:val="22"/>
          <w:szCs w:val="22"/>
        </w:rPr>
        <w:t xml:space="preserve">Wat u nooit inkort: </w:t>
      </w:r>
      <w:r>
        <w:rPr>
          <w:color w:val="1F2937"/>
          <w:sz w:val="22"/>
          <w:szCs w:val="22"/>
        </w:rPr>
        <w:t xml:space="preserve">opdracht 26.3e, de vergelijking van de twee versies van het advies. Dat is het moment waarop de volgorde-les voelbaar wordt in plaats van uitgelegd.</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Het naloopwerk loopt vast (slides 2–3)</w:t>
      </w:r>
    </w:p>
    <w:p>
      <w:pPr>
        <w:spacing w:after="160" w:line="276"/>
      </w:pPr>
      <w:r>
        <w:rPr>
          <w:b/>
          <w:bCs/>
          <w:color w:val="1F2937"/>
          <w:sz w:val="22"/>
          <w:szCs w:val="22"/>
        </w:rPr>
        <w:t xml:space="preserve">Bouw de situatie rustig op. </w:t>
      </w:r>
      <w:r>
        <w:rPr>
          <w:color w:val="1F2937"/>
          <w:sz w:val="22"/>
          <w:szCs w:val="22"/>
        </w:rPr>
        <w:t xml:space="preserve">Twee van de zes geplande weken, een storing, de reguliere mutatiestroom die doorliep — dit zijn geen dramatische gebeurtenissen maar de normale gang van een project. Dat is precies het punt: de situaties waarin het meest op het spel staat, zien er op het moment zelf zelden dramatisch uit.</w:t>
      </w:r>
    </w:p>
    <w:p>
      <w:pPr>
        <w:spacing w:after="160" w:line="276"/>
      </w:pPr>
      <w:r>
        <w:rPr>
          <w:b/>
          <w:bCs/>
          <w:color w:val="1F2937"/>
          <w:sz w:val="22"/>
          <w:szCs w:val="22"/>
        </w:rPr>
        <w:t xml:space="preserve">Slide 3 zet de toon voor het hele dagdeel: </w:t>
      </w:r>
      <w:r>
        <w:rPr>
          <w:color w:val="1F2937"/>
          <w:sz w:val="22"/>
          <w:szCs w:val="22"/>
        </w:rPr>
        <w:t xml:space="preserve">er is geen architectuurkeuze die dit oplost. Zeg dat expliciet, want deelnemers zoeken instinctief naar een technische uitweg.</w:t>
      </w:r>
    </w:p>
    <w:p>
      <w:pPr>
        <w:pStyle w:val="Heading2"/>
        <w:spacing w:after="140" w:before="260"/>
      </w:pPr>
      <w:r>
        <w:rPr>
          <w:b/>
          <w:bCs/>
          <w:color w:val="4A6789"/>
          <w:sz w:val="24"/>
          <w:szCs w:val="24"/>
        </w:rPr>
        <w:t xml:space="preserve">3.2 Mandaat, invloed, zwijgen (slides 4–8)</w:t>
      </w:r>
    </w:p>
    <w:p>
      <w:pPr>
        <w:spacing w:after="160" w:line="276"/>
      </w:pPr>
      <w:r>
        <w:rPr>
          <w:b/>
          <w:bCs/>
          <w:color w:val="1F2937"/>
          <w:sz w:val="22"/>
          <w:szCs w:val="22"/>
        </w:rPr>
        <w:t xml:space="preserve">Slide 5–6 zijn de kern van het begrippenkader. </w:t>
      </w:r>
      <w:r>
        <w:rPr>
          <w:color w:val="1F2937"/>
          <w:sz w:val="22"/>
          <w:szCs w:val="22"/>
        </w:rPr>
        <w:t xml:space="preserve">Besteed extra tijd aan slide 6: invloed uitoefenen betekent niet winnen. Dit corrigeert een veelvoorkomend misverstand — deelnemers denken dat "ik heb het geprobeerd" alleen telt als het advies wordt gevolgd.</w:t>
      </w:r>
    </w:p>
    <w:p>
      <w:pPr>
        <w:spacing w:after="160" w:line="276"/>
      </w:pPr>
      <w:r>
        <w:rPr>
          <w:b/>
          <w:bCs/>
          <w:color w:val="1F2937"/>
          <w:sz w:val="22"/>
          <w:szCs w:val="22"/>
        </w:rPr>
        <w:t xml:space="preserve">Slide 7 is de valkuil die het vaakst voorkomt </w:t>
      </w:r>
      <w:r>
        <w:rPr>
          <w:color w:val="1F2937"/>
          <w:sz w:val="22"/>
          <w:szCs w:val="22"/>
        </w:rPr>
        <w:t xml:space="preserve">en zij verdient een concreet voorbeeld uit de zaal: vraag wie er weleens een probleem een week heeft "onderzocht" voordat hij het meldde, terwijl het onderliggende feit — de deadline, de capaciteit — al bekend was.</w:t>
      </w:r>
    </w:p>
    <w:p>
      <w:pPr>
        <w:spacing w:after="160" w:line="276"/>
      </w:pPr>
      <w:r>
        <w:rPr>
          <w:b/>
          <w:bCs/>
          <w:color w:val="1F2937"/>
          <w:sz w:val="22"/>
          <w:szCs w:val="22"/>
        </w:rPr>
        <w:t xml:space="preserve">Opdracht 26.1, plenair vooral geval 3. </w:t>
      </w:r>
      <w:r>
        <w:rPr>
          <w:color w:val="1F2937"/>
          <w:sz w:val="22"/>
          <w:szCs w:val="22"/>
        </w:rPr>
        <w:t xml:space="preserve">Dit is het grensgeval en het levert de beste discussie op: is een week wachten om zelf te kijken zwijgen, uitstel van invloed, of gewoon zorgvuldig handelen? Er is geen eenduidig antwoord en de discussie zelf is het leerpunt.</w:t>
      </w:r>
    </w:p>
    <w:p>
      <w:pPr>
        <w:pStyle w:val="Heading2"/>
        <w:spacing w:after="140" w:before="260"/>
      </w:pPr>
      <w:r>
        <w:rPr>
          <w:b/>
          <w:bCs/>
          <w:color w:val="4A6789"/>
          <w:sz w:val="24"/>
          <w:szCs w:val="24"/>
        </w:rPr>
        <w:t xml:space="preserve">3.3 Verzonken kosten (slides 9–12)</w:t>
      </w:r>
    </w:p>
    <w:p>
      <w:pPr>
        <w:spacing w:after="160" w:line="276"/>
      </w:pPr>
      <w:r>
        <w:rPr>
          <w:b/>
          <w:bCs/>
          <w:color w:val="1F2937"/>
          <w:sz w:val="22"/>
          <w:szCs w:val="22"/>
        </w:rPr>
        <w:t xml:space="preserve">Slide 10–11 zijn bekende stof voor wie gedragseconomie kent, en zij landen hier anders </w:t>
      </w:r>
      <w:r>
        <w:rPr>
          <w:color w:val="1F2937"/>
          <w:sz w:val="22"/>
          <w:szCs w:val="22"/>
        </w:rPr>
        <w:t xml:space="preserve">omdat het concreet is. Laat de groep hardop het verzonken-kostenargument formuleren voordat u het weerlegt — het argument klinkt overtuigend, en dat is precies waarom het zo hardnekkig is.</w:t>
      </w:r>
    </w:p>
    <w:p>
      <w:pPr>
        <w:spacing w:after="160" w:line="276"/>
      </w:pPr>
      <w:r>
        <w:rPr>
          <w:b/>
          <w:bCs/>
          <w:color w:val="1F2937"/>
          <w:sz w:val="22"/>
          <w:szCs w:val="22"/>
        </w:rPr>
        <w:t xml:space="preserve">Opdracht 26.2, plenair bij b) en d). </w:t>
      </w:r>
      <w:r>
        <w:rPr>
          <w:color w:val="1F2937"/>
          <w:sz w:val="22"/>
          <w:szCs w:val="22"/>
        </w:rPr>
        <w:t xml:space="preserve">Bij b) is het doel dat de groep de verzonken kost letterlijk aanwijst in een zin die zij zelf normaal zouden gebruiken. Bij d) (stopvraag of aanpassingsvraag) is de nuance belangrijk: de meeste "stopvragen" in de praktijk zijn eigenlijk aanpassingsvragen, en het onderscheid bepaalt de toon van het advies.</w:t>
      </w:r>
    </w:p>
    <w:p>
      <w:pPr>
        <w:pStyle w:val="Heading2"/>
        <w:spacing w:after="140" w:before="260"/>
      </w:pPr>
      <w:r>
        <w:rPr>
          <w:b/>
          <w:bCs/>
          <w:color w:val="4A6789"/>
          <w:sz w:val="24"/>
          <w:szCs w:val="24"/>
        </w:rPr>
        <w:t xml:space="preserve">3.4 De anatomie van het stopadvies (slides 13–16)</w:t>
      </w:r>
    </w:p>
    <w:p>
      <w:pPr>
        <w:spacing w:after="160" w:line="276"/>
      </w:pPr>
      <w:r>
        <w:rPr>
          <w:color w:val="1F2937"/>
          <w:sz w:val="22"/>
          <w:szCs w:val="22"/>
        </w:rPr>
        <w:t xml:space="preserve">Dit is het zwaartepunt van het dagdeel.</w:t>
      </w:r>
    </w:p>
    <w:p>
      <w:pPr>
        <w:spacing w:after="160" w:line="276"/>
      </w:pPr>
      <w:r>
        <w:rPr>
          <w:b/>
          <w:bCs/>
          <w:color w:val="1F2937"/>
          <w:sz w:val="22"/>
          <w:szCs w:val="22"/>
        </w:rPr>
        <w:t xml:space="preserve">Slide 15 is de kernzin: </w:t>
      </w:r>
      <w:r>
        <w:rPr>
          <w:color w:val="1F2937"/>
          <w:sz w:val="22"/>
          <w:szCs w:val="22"/>
        </w:rPr>
        <w:t xml:space="preserve">zonder de eerste twee onderdelen wordt een stopadvies gehoord als aanval; met de volgorde als analyse. Zeg dit voordat de opdracht begint, zodat de groep weet waar zij op moet letten.</w:t>
      </w:r>
    </w:p>
    <w:p>
      <w:pPr>
        <w:spacing w:after="160" w:line="276"/>
      </w:pPr>
      <w:r>
        <w:rPr>
          <w:b/>
          <w:bCs/>
          <w:color w:val="1F2937"/>
          <w:sz w:val="22"/>
          <w:szCs w:val="22"/>
        </w:rPr>
        <w:t xml:space="preserve">Opdracht 26.3, de instructie voor onderdeel e) is cruciaal en mag niet worden overgeslagen. </w:t>
      </w:r>
      <w:r>
        <w:rPr>
          <w:color w:val="1F2937"/>
          <w:sz w:val="22"/>
          <w:szCs w:val="22"/>
        </w:rPr>
        <w:t xml:space="preserve">Laat elke groep echt beide versies opschrijven en hardop aan elkaar voorlezen. De ervaring dat de conclusie-eerst-versie harder aanvoelt, zelfs bij de eigen groepsleden, is sterker dan elke uitleg.</w:t>
      </w:r>
    </w:p>
    <w:p>
      <w:pPr>
        <w:spacing w:after="160" w:line="276"/>
      </w:pPr>
      <w:r>
        <w:rPr>
          <w:color w:val="1F2937"/>
          <w:sz w:val="22"/>
          <w:szCs w:val="22"/>
        </w:rPr>
        <w:t xml:space="preserve">Loop rond en let op groepen die de erkende bijdrage te mager formuleren ("er is wel wat gedaan") in plaats van concreet ("van 340 dossiers is nu de juiste ingangsdatum bekend"). Vaagheid in dit onderdeel ondermijnt het hele advies.</w:t>
      </w:r>
    </w:p>
    <w:p>
      <w:pPr>
        <w:pStyle w:val="Heading2"/>
        <w:spacing w:after="140" w:before="260"/>
      </w:pPr>
      <w:r>
        <w:rPr>
          <w:b/>
          <w:bCs/>
          <w:color w:val="4A6789"/>
          <w:sz w:val="24"/>
          <w:szCs w:val="24"/>
        </w:rPr>
        <w:t xml:space="preserve">3.5 Legitiem optimistisch of misleidend (slides 17–21)</w:t>
      </w:r>
    </w:p>
    <w:p>
      <w:pPr>
        <w:spacing w:after="160" w:line="276"/>
      </w:pPr>
      <w:r>
        <w:rPr>
          <w:b/>
          <w:bCs/>
          <w:color w:val="1F2937"/>
          <w:sz w:val="22"/>
          <w:szCs w:val="22"/>
        </w:rPr>
        <w:t xml:space="preserve">Slide 20 is de zin die het meeste blijft hangen: </w:t>
      </w:r>
      <w:r>
        <w:rPr>
          <w:color w:val="1F2937"/>
          <w:sz w:val="22"/>
          <w:szCs w:val="22"/>
        </w:rPr>
        <w:t xml:space="preserve">het gaat zelden mis bij een leugen, het gaat mis bij precisie die naar de gunstige kant afrondt. Vraag de groep om voorbeelden van zulke woorden uit hun eigen rapportages — "grotendeels", "over het algemeen", "op koers" — en schrijf ze op het bord.</w:t>
      </w:r>
    </w:p>
    <w:p>
      <w:pPr>
        <w:spacing w:after="160" w:line="276"/>
      </w:pPr>
      <w:r>
        <w:rPr>
          <w:b/>
          <w:bCs/>
          <w:color w:val="1F2937"/>
          <w:sz w:val="22"/>
          <w:szCs w:val="22"/>
        </w:rPr>
        <w:t xml:space="preserve">Opdracht 26.4, onderdeel c) (de herschrijving) is de praktische toepassing. </w:t>
      </w:r>
      <w:r>
        <w:rPr>
          <w:color w:val="1F2937"/>
          <w:sz w:val="22"/>
          <w:szCs w:val="22"/>
        </w:rPr>
        <w:t xml:space="preserve">Bespreek plenair twee of drie herschrijvingen en laat de groep beoordelen: is de urgentie behouden, en is de onzekerheid nu expliciet?</w:t>
      </w:r>
    </w:p>
    <w:p>
      <w:pPr>
        <w:pStyle w:val="Heading2"/>
        <w:spacing w:after="140" w:before="260"/>
      </w:pPr>
      <w:r>
        <w:rPr>
          <w:b/>
          <w:bCs/>
          <w:color w:val="4A6789"/>
          <w:sz w:val="24"/>
          <w:szCs w:val="24"/>
        </w:rPr>
        <w:t xml:space="preserve">3.6 Wanneer niemand het wil horen (slides 22–25)</w:t>
      </w:r>
    </w:p>
    <w:p>
      <w:pPr>
        <w:spacing w:after="160" w:line="276"/>
      </w:pPr>
      <w:r>
        <w:rPr>
          <w:b/>
          <w:bCs/>
          <w:color w:val="1F2937"/>
          <w:sz w:val="22"/>
          <w:szCs w:val="22"/>
        </w:rPr>
        <w:t xml:space="preserve">Slide 24, derde punt </w:t>
      </w:r>
      <w:r>
        <w:rPr>
          <w:color w:val="1F2937"/>
          <w:sz w:val="22"/>
          <w:szCs w:val="22"/>
        </w:rPr>
        <w:t xml:space="preserve">verdient nadruk: eén keer zeggen, dan vastleggen, dan door. Dit voorkomt twee fouten tegelijk — nooit meer melden (te zacht) en obsessief herhalen (contraproductief).</w:t>
      </w:r>
    </w:p>
    <w:p>
      <w:pPr>
        <w:spacing w:after="160" w:line="276"/>
      </w:pPr>
      <w:r>
        <w:rPr>
          <w:b/>
          <w:bCs/>
          <w:color w:val="1F2937"/>
          <w:sz w:val="22"/>
          <w:szCs w:val="22"/>
        </w:rPr>
        <w:t xml:space="preserve">Opdracht 26.5, het rollenspel. </w:t>
      </w:r>
      <w:r>
        <w:rPr>
          <w:color w:val="1F2937"/>
          <w:sz w:val="22"/>
          <w:szCs w:val="22"/>
        </w:rPr>
        <w:t xml:space="preserve">Instrueer de programmadirecteursrol zorgvuldig: hij is niet vijandig, hij staat onder eigen druk. Reactie 3 (stilte, geen besluit) is de belangrijkste van de drie en de minst voor de hand liggende om te oefenen — er is niets om tegen te vechten, alleen een afwezigheid van reactie.</w:t>
      </w:r>
    </w:p>
    <w:p>
      <w:pPr>
        <w:spacing w:after="160" w:line="276"/>
      </w:pPr>
      <w:r>
        <w:rPr>
          <w:b/>
          <w:bCs/>
          <w:color w:val="1F2937"/>
          <w:sz w:val="22"/>
          <w:szCs w:val="22"/>
        </w:rPr>
        <w:t xml:space="preserve">Bij de nabespreking: </w:t>
      </w:r>
      <w:r>
        <w:rPr>
          <w:color w:val="1F2937"/>
          <w:sz w:val="22"/>
          <w:szCs w:val="22"/>
        </w:rPr>
        <w:t xml:space="preserve">wat deed de architect met reactie 3? De sterke aanpak — vastleggen plus een concreet vervolgmoment voorstellen — komt zelden spontaan naar boven en moet u desnoods zelf inbrengen.</w:t>
      </w:r>
    </w:p>
    <w:p>
      <w:pPr>
        <w:pStyle w:val="Heading2"/>
        <w:spacing w:after="140" w:before="260"/>
      </w:pPr>
      <w:r>
        <w:rPr>
          <w:b/>
          <w:bCs/>
          <w:color w:val="4A6789"/>
          <w:sz w:val="24"/>
          <w:szCs w:val="24"/>
        </w:rPr>
        <w:t xml:space="preserve">3.7 Afsluiting (slide 26)</w:t>
      </w:r>
    </w:p>
    <w:p>
      <w:pPr>
        <w:spacing w:after="160" w:line="276"/>
      </w:pPr>
      <w:r>
        <w:rPr>
          <w:b/>
          <w:bCs/>
          <w:color w:val="1F2937"/>
          <w:sz w:val="22"/>
          <w:szCs w:val="22"/>
        </w:rPr>
        <w:t xml:space="preserve">Het laatste punt op slide 26 is belangrijk om eerlijk te brengen: </w:t>
      </w:r>
      <w:r>
        <w:rPr>
          <w:color w:val="1F2937"/>
          <w:sz w:val="22"/>
          <w:szCs w:val="22"/>
        </w:rPr>
        <w:t xml:space="preserve">vastleggen is geen garantie. Organisaties zijn niet altijd rechtvaardig, en een architect die correct heeft gemeld, kan alsnog worden aangesproken. Dat is geen reden om niet te melden — het is de reden waarom vastleggen het enige instrument is dat u hebt, en waarom het beter is dan het alternatief.</w:t>
      </w:r>
    </w:p>
    <w:p>
      <w:pPr>
        <w:spacing w:after="160" w:line="276"/>
      </w:pPr>
      <w:r>
        <w:rPr>
          <w:b/>
          <w:bCs/>
          <w:color w:val="1F2937"/>
          <w:sz w:val="22"/>
          <w:szCs w:val="22"/>
        </w:rPr>
        <w:t xml:space="preserve">Sluit af met opdracht 26.7c als aankondiging. </w:t>
      </w:r>
      <w:r>
        <w:rPr>
          <w:color w:val="1F2937"/>
          <w:sz w:val="22"/>
          <w:szCs w:val="22"/>
        </w:rPr>
        <w:t xml:space="preserve">Vrijwel iedereen heeft ooit een formulering geschreven die de gunstige kant op afrondde. Dat eerlijk terugvinden is confronterend en het is de nuttigste voorbereiding op deel 27 en 28.</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"Bij ons wordt slecht nieuws echt niet op prijs gesteld."</w:t>
      </w:r>
      <w:r>
        <w:rPr>
          <w:color w:val="1F2937"/>
          <w:sz w:val="22"/>
          <w:szCs w:val="22"/>
        </w:rPr>
        <w:t xml:space="preserve"> Reëel, en het weerwoord staat in de reader: de verantwoordelijkheid is niet weg als u zwijgt, zij is alleen niet uitgeoefend. Erken de moeilijkheid van de organisatiecultuur zonder de norm te laten zakken.</w:t>
      </w:r>
    </w:p>
    <w:p>
      <w:pPr>
        <w:spacing w:after="160" w:line="276"/>
      </w:pPr>
      <w:r>
        <w:rPr>
          <w:b/>
          <w:bCs/>
          <w:color w:val="1F2937"/>
          <w:sz w:val="22"/>
          <w:szCs w:val="22"/>
        </w:rPr>
        <w:t xml:space="preserve">Een deelnemer heeft zelf een moeilijke melding meegemaakt met een slechte afloop.</w:t>
      </w:r>
      <w:r>
        <w:rPr>
          <w:color w:val="1F2937"/>
          <w:sz w:val="22"/>
          <w:szCs w:val="22"/>
        </w:rPr>
        <w:t xml:space="preserve"> Waardevol materiaal, en wees voorzichtig. Vraag niet naar details die de persoon niet wil delen; vraag naar het patroon — welke van de vier onderdelen van het stopadvies ontbrak, of welke van de drie "wat niet werkt"-punten speelde.</w:t>
      </w:r>
    </w:p>
    <w:p>
      <w:pPr>
        <w:spacing w:after="160" w:line="276"/>
      </w:pPr>
      <w:r>
        <w:rPr>
          <w:b/>
          <w:bCs/>
          <w:color w:val="1F2937"/>
          <w:sz w:val="22"/>
          <w:szCs w:val="22"/>
        </w:rPr>
        <w:t xml:space="preserve">"Is dit niet gewoon politiek bedrijven?"</w:t>
      </w:r>
      <w:r>
        <w:rPr>
          <w:color w:val="1F2937"/>
          <w:sz w:val="22"/>
          <w:szCs w:val="22"/>
        </w:rPr>
        <w:t xml:space="preserve"> Nee, en het verschil is de moeite van het uitleggen waard: politiek bedrijven is het beeld sturen; hier gaat het om het feit zichtbaar maken en de beoordeling aan de juiste partij laten. De vorm (feit apart van advies) is er juist om het onderscheid met politiek bedrijven scherp te houden.</w:t>
      </w:r>
    </w:p>
    <w:p>
      <w:pPr>
        <w:spacing w:after="160" w:line="276"/>
      </w:pPr>
      <w:r>
        <w:rPr>
          <w:b/>
          <w:bCs/>
          <w:color w:val="1F2937"/>
          <w:sz w:val="22"/>
          <w:szCs w:val="22"/>
        </w:rPr>
        <w:t xml:space="preserve">De discussie over klokkenluiden.</w:t>
      </w:r>
      <w:r>
        <w:rPr>
          <w:color w:val="1F2937"/>
          <w:sz w:val="22"/>
          <w:szCs w:val="22"/>
        </w:rPr>
        <w:t xml:space="preserve"> Kan opkomen bij opdracht 26.6 als een casus daarnaar neigt. Dit deel gaat niet over klokkenluiden in de formele, juridische zin — het gaat over de dagelijkse praktijk van melden binnen de normale gezagslijnen. Als de discussie die kant op gaat, erken het onderscheid en verwijs naar het eigen integriteitsbeleid van de organisatie.</w:t>
      </w:r>
    </w:p>
    <w:p>
      <w:pPr>
        <w:spacing w:after="160" w:line="276"/>
      </w:pPr>
      <w:r>
        <w:rPr>
          <w:b/>
          <w:bCs/>
          <w:color w:val="1F2937"/>
          <w:sz w:val="22"/>
          <w:szCs w:val="22"/>
        </w:rPr>
        <w:t xml:space="preserve">Iemand vindt de vier onderdelen van het stopadvies bureaucratisch.</w:t>
      </w:r>
      <w:r>
        <w:rPr>
          <w:color w:val="1F2937"/>
          <w:sz w:val="22"/>
          <w:szCs w:val="22"/>
        </w:rPr>
        <w:t xml:space="preserve"> Laat hem opdracht 26.3e zelf ervaren — de vergelijking tussen de twee versies overtuigt beter dan een verdediging van de vorm.</w:t>
      </w:r>
    </w:p>
    <w:p>
      <w:pPr>
        <w:pStyle w:val="Heading1"/>
        <w:pBdr>
          <w:bottom w:val="single" w:color="E5E7EB" w:sz="6" w:space="6"/>
        </w:pBdr>
        <w:spacing w:after="180" w:before="380"/>
      </w:pPr>
      <w:r>
        <w:rPr>
          <w:b/>
          <w:bCs/>
          <w:color w:val="1F3A5F"/>
          <w:sz w:val="30"/>
          <w:szCs w:val="30"/>
        </w:rPr>
        <w:t xml:space="preserve">5. Signalen om mee te nemen</w:t>
      </w:r>
    </w:p>
    <w:p>
      <w:pPr>
        <w:pStyle w:val="ListParagraph"/>
        <w:numPr>
          <w:ilvl w:val="0"/>
          <w:numId w:val="4"/>
        </w:numPr>
        <w:spacing w:after="120"/>
      </w:pPr>
      <w:r>
        <w:rPr>
          <w:color w:val="1F2937"/>
          <w:sz w:val="22"/>
          <w:szCs w:val="22"/>
        </w:rPr>
        <w:t xml:space="preserve">Wie kiest bij opdracht 26.1 voor "even wachten en zelf proberen"? Herkent de valkuil van slide 7 niet; dit voorspelt vertraagd melden in de praktijk.</w:t>
      </w:r>
    </w:p>
    <w:p>
      <w:pPr>
        <w:pStyle w:val="ListParagraph"/>
        <w:numPr>
          <w:ilvl w:val="0"/>
          <w:numId w:val="4"/>
        </w:numPr>
        <w:spacing w:after="120"/>
      </w:pPr>
      <w:r>
        <w:rPr>
          <w:color w:val="1F2937"/>
          <w:sz w:val="22"/>
          <w:szCs w:val="22"/>
        </w:rPr>
        <w:t xml:space="preserve">Wie formuleert bij 26.3 de erkende bijdrage vaag? Zal het stopadvies in de praktijk als aanval laten klinken.</w:t>
      </w:r>
    </w:p>
    <w:p>
      <w:pPr>
        <w:pStyle w:val="ListParagraph"/>
        <w:numPr>
          <w:ilvl w:val="0"/>
          <w:numId w:val="4"/>
        </w:numPr>
        <w:spacing w:after="120"/>
      </w:pPr>
      <w:r>
        <w:rPr>
          <w:color w:val="1F2937"/>
          <w:sz w:val="22"/>
          <w:szCs w:val="22"/>
        </w:rPr>
        <w:t xml:space="preserve">Wie stopt na één melding bij reactie 3 in het rollenspel? Mist het onderscheid tussen herhalen en opnieuw melden bij een nieuw feit — het scherpste signaal voor deel 27 en 28.</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3"/>
        </w:numPr>
        <w:spacing w:after="100"/>
      </w:pPr>
      <w:r>
        <w:rPr>
          <w:color w:val="1F2937"/>
          <w:sz w:val="22"/>
          <w:szCs w:val="22"/>
        </w:rPr>
        <w:t xml:space="preserve">Slidedeck deel 26</w:t>
      </w:r>
    </w:p>
    <w:p>
      <w:pPr>
        <w:pStyle w:val="ListParagraph"/>
        <w:numPr>
          <w:ilvl w:val="0"/>
          <w:numId w:val="3"/>
        </w:numPr>
        <w:spacing w:after="100"/>
      </w:pPr>
      <w:r>
        <w:rPr>
          <w:color w:val="1F2937"/>
          <w:sz w:val="22"/>
          <w:szCs w:val="22"/>
        </w:rPr>
        <w:t xml:space="preserve">Reader en werkboek, per deelnemer</w:t>
      </w:r>
    </w:p>
    <w:p>
      <w:pPr>
        <w:pStyle w:val="ListParagraph"/>
        <w:numPr>
          <w:ilvl w:val="0"/>
          <w:numId w:val="3"/>
        </w:numPr>
        <w:spacing w:after="100"/>
      </w:pPr>
      <w:r>
        <w:rPr>
          <w:color w:val="1F2937"/>
          <w:sz w:val="22"/>
          <w:szCs w:val="22"/>
        </w:rPr>
        <w:t xml:space="preserve">Bijlage CQ: het capaciteitsverslag met de storing en de reguliere mutatiestroom</w:t>
      </w:r>
    </w:p>
    <w:p>
      <w:pPr>
        <w:pStyle w:val="ListParagraph"/>
        <w:numPr>
          <w:ilvl w:val="0"/>
          <w:numId w:val="3"/>
        </w:numPr>
        <w:spacing w:after="100"/>
      </w:pPr>
      <w:r>
        <w:rPr>
          <w:b/>
          <w:bCs/>
          <w:color w:val="1F2937"/>
          <w:sz w:val="22"/>
          <w:szCs w:val="22"/>
        </w:rPr>
        <w:t xml:space="preserve">Bijlage CR:</w:t>
      </w:r>
      <w:r>
        <w:rPr>
          <w:color w:val="1F2937"/>
          <w:sz w:val="22"/>
          <w:szCs w:val="22"/>
        </w:rPr>
        <w:t xml:space="preserve"> de drie eerdere "op schema"-rapportages, letterlijk — het materiaal voor de herschrijfoefening</w:t>
      </w:r>
    </w:p>
    <w:p>
      <w:pPr>
        <w:pStyle w:val="ListParagraph"/>
        <w:numPr>
          <w:ilvl w:val="0"/>
          <w:numId w:val="3"/>
        </w:numPr>
        <w:spacing w:after="100"/>
      </w:pPr>
      <w:r>
        <w:rPr>
          <w:color w:val="1F2937"/>
          <w:sz w:val="22"/>
          <w:szCs w:val="22"/>
        </w:rPr>
        <w:t xml:space="preserve">Bijlage CS: vier geanonimiseerde sectorcasussen met afloop</w:t>
      </w:r>
    </w:p>
    <w:p>
      <w:pPr>
        <w:pStyle w:val="ListParagraph"/>
        <w:numPr>
          <w:ilvl w:val="0"/>
          <w:numId w:val="3"/>
        </w:numPr>
        <w:spacing w:after="100"/>
      </w:pPr>
      <w:r>
        <w:rPr>
          <w:b/>
          <w:bCs/>
          <w:color w:val="1F2937"/>
          <w:sz w:val="22"/>
          <w:szCs w:val="22"/>
        </w:rPr>
        <w:t xml:space="preserve">Bijlage CT:</w:t>
      </w:r>
      <w:r>
        <w:rPr>
          <w:color w:val="1F2937"/>
          <w:sz w:val="22"/>
          <w:szCs w:val="22"/>
        </w:rPr>
        <w:t xml:space="preserve"> rolkaarten voor het rollenspel, met de drie reacties van de programmadirecteur</w:t>
      </w:r>
    </w:p>
    <w:p>
      <w:pPr>
        <w:pStyle w:val="ListParagraph"/>
        <w:numPr>
          <w:ilvl w:val="0"/>
          <w:numId w:val="3"/>
        </w:numPr>
        <w:spacing w:after="100"/>
      </w:pPr>
      <w:r>
        <w:rPr>
          <w:color w:val="1F2937"/>
          <w:sz w:val="22"/>
          <w:szCs w:val="22"/>
        </w:rPr>
        <w:t xml:space="preserve">De besluitnotavorm uit deel 19 en de rolgrens uit deel 20 en 25</w:t>
      </w:r>
    </w:p>
    <w:p>
      <w:pPr>
        <w:pStyle w:val="Heading1"/>
        <w:pBdr>
          <w:bottom w:val="single" w:color="E5E7EB" w:sz="6" w:space="6"/>
        </w:pBdr>
        <w:spacing w:after="180" w:before="380"/>
      </w:pPr>
      <w:r>
        <w:rPr>
          <w:b/>
          <w:bCs/>
          <w:color w:val="1F3A5F"/>
          <w:sz w:val="30"/>
          <w:szCs w:val="30"/>
        </w:rPr>
        <w:t xml:space="preserve">7. Aansluiting op het volgende deel</w:t>
      </w:r>
    </w:p>
    <w:p>
      <w:pPr>
        <w:spacing w:after="160" w:line="276"/>
      </w:pPr>
      <w:r>
        <w:rPr>
          <w:i/>
          <w:iCs/>
          <w:color w:val="1F2937"/>
          <w:sz w:val="22"/>
          <w:szCs w:val="22"/>
        </w:rPr>
        <w:t xml:space="preserve">Deel 27 behandelt de situatie waarin blijkt dat er al twaalf jaar iets fout gaat. De brug: vandaag ging het over melden terwijl u nog kunt bijsturen. Volgende keer gaat het over de zwaarste vorm daarvan: wat als de fout niet nieuw is, niet van u is, en al jaren doorwerkt? Dan gelden dezelfde principes — mandaat en invloed, verzonken kosten, legitiem tegenover misleidend — maar de inzet is groter en de verleiding om te zwijgen ook.</w:t>
      </w:r>
    </w:p>
    <w:p>
      <w:pPr>
        <w:pBdr>
          <w:top w:val="single" w:color="E5E7EB" w:sz="4" w:space="8"/>
        </w:pBdr>
        <w:spacing w:before="400"/>
        <w:jc w:val="center"/>
      </w:pPr>
      <w:r>
        <w:rPr>
          <w:i/>
          <w:iCs/>
          <w:color w:val="6B7280"/>
          <w:sz w:val="17"/>
          <w:szCs w:val="17"/>
        </w:rPr>
        <w:t xml:space="preserve">Ductus B.V. · Cursus Softwarearchitectuur · Niveau 3, deel 26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3, deel 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2026-08-17T19:52:55.274Z</dcterms:created>
  <dcterms:modified xsi:type="dcterms:W3CDTF">2026-08-17T19:52:55.275Z</dcterms:modified>
</cp:coreProperties>
</file>

<file path=docProps/custom.xml><?xml version="1.0" encoding="utf-8"?>
<Properties xmlns="http://schemas.openxmlformats.org/officeDocument/2006/custom-properties" xmlns:vt="http://schemas.openxmlformats.org/officeDocument/2006/docPropsVTypes"/>
</file>