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26 — Verdedigbaar stoppen en melden</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3 (CPSA-A certificeringstraject) · Deel 26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Niveau 3 begeleidt het CPSA-A-certificeringstraject. Deze cursus is geen geaccrediteerde training en levert geen credit points; raadpleeg isaqb.org voor de actuele voorwaarden.</w:t>
            </w:r>
          </w:p>
          <w:p>
            <w:pPr>
              <w:spacing w:before="120"/>
            </w:pPr>
            <w:r>
              <w:rPr>
                <w:b/>
                <w:bCs/>
                <w:i/>
                <w:iCs/>
                <w:color w:val="1F2937"/>
                <w:sz w:val="21"/>
                <w:szCs w:val="21"/>
              </w:rPr>
              <w:t xml:space="preserve">Twee sporen. </w:t>
            </w:r>
            <w:r>
              <w:rPr>
                <w:i/>
                <w:iCs/>
                <w:color w:val="1F2937"/>
                <w:sz w:val="21"/>
                <w:szCs w:val="21"/>
              </w:rPr>
              <w:t xml:space="preserve">Het casusspoor behandelt de vraag wanneer en hoe u meldt dat iets niet gaat lukken. Het eigen spoor: heeft uw certificeringsopdracht een moment waarop u dit moest doen — of had moeten doen?</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het verschil benoemen tussen mandaat, invloed en zwijgen, en weten wanneer welke geldt;</w:t>
      </w:r>
    </w:p>
    <w:p>
      <w:pPr>
        <w:pStyle w:val="ListParagraph"/>
        <w:numPr>
          <w:ilvl w:val="0"/>
          <w:numId w:val="2"/>
        </w:numPr>
        <w:spacing w:after="120"/>
      </w:pPr>
      <w:r>
        <w:rPr>
          <w:color w:val="1F2937"/>
          <w:sz w:val="22"/>
          <w:szCs w:val="22"/>
        </w:rPr>
        <w:t xml:space="preserve">verdedigbaar stoppen beargumenteren: prioriteren op bijdrage in plaats van op wat er al is geïnvesteerd;</w:t>
      </w:r>
    </w:p>
    <w:p>
      <w:pPr>
        <w:pStyle w:val="ListParagraph"/>
        <w:numPr>
          <w:ilvl w:val="0"/>
          <w:numId w:val="2"/>
        </w:numPr>
        <w:spacing w:after="120"/>
      </w:pPr>
      <w:r>
        <w:rPr>
          <w:color w:val="1F2937"/>
          <w:sz w:val="22"/>
          <w:szCs w:val="22"/>
        </w:rPr>
        <w:t xml:space="preserve">de anatomie van een stopadvies opbouwen: erkende bijdrage, relatieve afweging, het lot van het werk, besluit bij de opdrachtgever;</w:t>
      </w:r>
    </w:p>
    <w:p>
      <w:pPr>
        <w:pStyle w:val="ListParagraph"/>
        <w:numPr>
          <w:ilvl w:val="0"/>
          <w:numId w:val="2"/>
        </w:numPr>
        <w:spacing w:after="120"/>
      </w:pPr>
      <w:r>
        <w:rPr>
          <w:color w:val="1F2937"/>
          <w:sz w:val="22"/>
          <w:szCs w:val="22"/>
        </w:rPr>
        <w:t xml:space="preserve">de grens tussen legitiem optimisme en misleiding herkennen in uw eigen rapportages;</w:t>
      </w:r>
    </w:p>
    <w:p>
      <w:pPr>
        <w:pStyle w:val="ListParagraph"/>
        <w:numPr>
          <w:ilvl w:val="0"/>
          <w:numId w:val="2"/>
        </w:numPr>
        <w:spacing w:after="120"/>
      </w:pPr>
      <w:r>
        <w:rPr>
          <w:color w:val="1F2937"/>
          <w:sz w:val="22"/>
          <w:szCs w:val="22"/>
        </w:rPr>
        <w:t xml:space="preserve">de "toets" toepassen als snelle ethische controle vóór u iets meldt of juist niet meldt;</w:t>
      </w:r>
    </w:p>
    <w:p>
      <w:pPr>
        <w:pStyle w:val="ListParagraph"/>
        <w:numPr>
          <w:ilvl w:val="0"/>
          <w:numId w:val="2"/>
        </w:numPr>
        <w:spacing w:after="120"/>
      </w:pPr>
      <w:r>
        <w:rPr>
          <w:color w:val="1F2937"/>
          <w:sz w:val="22"/>
          <w:szCs w:val="22"/>
        </w:rPr>
        <w:t xml:space="preserve">omgaan met de situatie waarin niemand het slechte nieuws wil horen.</w:t>
      </w:r>
    </w:p>
    <w:p>
      <w:pPr>
        <w:pStyle w:val="Heading1"/>
        <w:pBdr>
          <w:bottom w:val="single" w:color="E5E7EB" w:sz="6" w:space="6"/>
        </w:pBdr>
        <w:spacing w:after="180" w:before="380"/>
      </w:pPr>
      <w:r>
        <w:rPr>
          <w:b/>
          <w:bCs/>
          <w:color w:val="1F3A5F"/>
          <w:sz w:val="30"/>
          <w:szCs w:val="30"/>
        </w:rPr>
        <w:t xml:space="preserve">26.1 De aanleiding: het naloopwerk loopt vast</w:t>
      </w:r>
    </w:p>
    <w:p>
      <w:pPr>
        <w:spacing w:after="160" w:line="276"/>
      </w:pPr>
      <w:r>
        <w:rPr>
          <w:color w:val="1F2937"/>
          <w:sz w:val="22"/>
          <w:szCs w:val="22"/>
        </w:rPr>
        <w:t xml:space="preserve">Uit deel 25: de 1.440 problematische dossiers krijgen naloopwerk, gepland vóór het tweede deelmoment. Zes weken later blijkt: de administratie heeft twee weken kunnen besteden in plaats van de geplande zes, want er kwam een storing tussendoor die drie dagen kostte, en de reguliere mutatiestroom liep door.</w:t>
      </w:r>
    </w:p>
    <w:p>
      <w:pPr>
        <w:spacing w:after="160" w:line="276"/>
      </w:pPr>
      <w:r>
        <w:rPr>
          <w:b/>
          <w:bCs/>
          <w:color w:val="1F2937"/>
          <w:sz w:val="22"/>
          <w:szCs w:val="22"/>
        </w:rPr>
        <w:t xml:space="preserve">Op het huidige tempo </w:t>
      </w:r>
      <w:r>
        <w:rPr>
          <w:color w:val="1F2937"/>
          <w:sz w:val="22"/>
          <w:szCs w:val="22"/>
        </w:rPr>
        <w:t xml:space="preserve">is het naloopwerk niet klaar vóór het tweede deelmoment. De programmadirecteur weet dit nog niet.</w:t>
      </w:r>
    </w:p>
    <w:p>
      <w:pPr>
        <w:spacing w:after="160" w:line="276"/>
      </w:pPr>
      <w:r>
        <w:rPr>
          <w:b/>
          <w:bCs/>
          <w:color w:val="1F2937"/>
          <w:sz w:val="22"/>
          <w:szCs w:val="22"/>
        </w:rPr>
        <w:t xml:space="preserve">De vraag van dit deel is niet technisch. </w:t>
      </w:r>
      <w:r>
        <w:rPr>
          <w:color w:val="1F2937"/>
          <w:sz w:val="22"/>
          <w:szCs w:val="22"/>
        </w:rPr>
        <w:t xml:space="preserve">Er is geen architectuurkeuze die dit oplost. De vraag is: wat doet u nu, en wanneer zegt u het?</w:t>
      </w:r>
    </w:p>
    <w:p>
      <w:pPr>
        <w:pStyle w:val="Heading1"/>
        <w:pBdr>
          <w:bottom w:val="single" w:color="E5E7EB" w:sz="6" w:space="6"/>
        </w:pBdr>
        <w:spacing w:after="180" w:before="380"/>
      </w:pPr>
      <w:r>
        <w:rPr>
          <w:b/>
          <w:bCs/>
          <w:color w:val="1F3A5F"/>
          <w:sz w:val="30"/>
          <w:szCs w:val="30"/>
        </w:rPr>
        <w:t xml:space="preserve">26.2 Mandaat, invloed, zwijgen</w:t>
      </w:r>
    </w:p>
    <w:p>
      <w:pPr>
        <w:spacing w:after="160" w:line="276"/>
      </w:pPr>
      <w:r>
        <w:rPr>
          <w:color w:val="1F2937"/>
          <w:sz w:val="22"/>
          <w:szCs w:val="22"/>
        </w:rPr>
        <w:t xml:space="preserve">Uit deel 20 en 25: sommige besluiten zijn niet aan de architect. Dit deel werkt uit wat daaruit volgt voor het moment waarop iets misgaat.</w:t>
      </w:r>
    </w:p>
    <w:p>
      <w:pPr>
        <w:spacing w:after="160" w:line="276"/>
      </w:pPr>
      <w:r>
        <w:rPr>
          <w:b/>
          <w:bCs/>
          <w:color w:val="1F2937"/>
          <w:sz w:val="22"/>
          <w:szCs w:val="22"/>
        </w:rPr>
        <w:t xml:space="preserve">Drie posities, </w:t>
      </w:r>
      <w:r>
        <w:rPr>
          <w:color w:val="1F2937"/>
          <w:sz w:val="22"/>
          <w:szCs w:val="22"/>
        </w:rPr>
        <w:t xml:space="preserve">en het verschil ertussen is scherper dan het lijkt.</w:t>
      </w:r>
    </w:p>
    <w:p>
      <w:pPr>
        <w:spacing w:after="160" w:line="276"/>
      </w:pPr>
      <w:r>
        <w:rPr>
          <w:b/>
          <w:bCs/>
          <w:color w:val="1F2937"/>
          <w:sz w:val="22"/>
          <w:szCs w:val="22"/>
        </w:rPr>
        <w:t xml:space="preserve">Mandaat. </w:t>
      </w:r>
      <w:r>
        <w:rPr>
          <w:color w:val="1F2937"/>
          <w:sz w:val="22"/>
          <w:szCs w:val="22"/>
        </w:rPr>
        <w:t xml:space="preserve">U hebt de bevoegdheid om zelf te beslissen. Bij een architect is dat zeldzamer dan gedacht — het geldt voor beslissingen binnen de architectuur, niet voor beslissingen over de planning, het budget of de risicobereidheid.</w:t>
      </w:r>
    </w:p>
    <w:p>
      <w:pPr>
        <w:spacing w:after="160" w:line="276"/>
      </w:pPr>
      <w:r>
        <w:rPr>
          <w:b/>
          <w:bCs/>
          <w:color w:val="1F2937"/>
          <w:sz w:val="22"/>
          <w:szCs w:val="22"/>
        </w:rPr>
        <w:t xml:space="preserve">Invloed. </w:t>
      </w:r>
      <w:r>
        <w:rPr>
          <w:color w:val="1F2937"/>
          <w:sz w:val="22"/>
          <w:szCs w:val="22"/>
        </w:rPr>
        <w:t xml:space="preserve">U hebt geen bevoegdheid en wel het recht — en de plicht — om te overtuigen. Dit is de positie waarin een architect zich het meest bevindt. U legt de situatie voor, met de gevolgen, en u probeert het besluit te beïnvloeden dat een ander neemt.</w:t>
      </w:r>
    </w:p>
    <w:p>
      <w:pPr>
        <w:spacing w:after="160" w:line="276"/>
      </w:pPr>
      <w:r>
        <w:rPr>
          <w:b/>
          <w:bCs/>
          <w:color w:val="1F2937"/>
          <w:sz w:val="22"/>
          <w:szCs w:val="22"/>
        </w:rPr>
        <w:t xml:space="preserve">Zwijgen. </w:t>
      </w:r>
      <w:r>
        <w:rPr>
          <w:color w:val="1F2937"/>
          <w:sz w:val="22"/>
          <w:szCs w:val="22"/>
        </w:rPr>
        <w:t xml:space="preserve">Er is geen mandaat en er wordt geen invloed uitgeoefend. Dit is nooit een geldige positie, en het is de kern van dit deel.</w:t>
      </w:r>
    </w:p>
    <w:p>
      <w:pPr>
        <w:spacing w:after="160" w:line="276"/>
      </w:pPr>
      <w:r>
        <w:rPr>
          <w:b/>
          <w:bCs/>
          <w:color w:val="1F2937"/>
          <w:sz w:val="22"/>
          <w:szCs w:val="22"/>
        </w:rPr>
        <w:t xml:space="preserve">Het onderscheid dat ertoe doet: </w:t>
      </w:r>
      <w:r>
        <w:rPr>
          <w:color w:val="1F2937"/>
          <w:sz w:val="22"/>
          <w:szCs w:val="22"/>
        </w:rPr>
        <w:t xml:space="preserve">invloed uitoefenen betekent niet dat u wint. U kunt uw punt maken, gehoord worden, en toch overruled worden — dat is een geldige uitkomst, zoals in deel 20 (meebewegen met vastlegging). Wat niet geldig is, is niet proberen.</w:t>
      </w:r>
    </w:p>
    <w:p>
      <w:pPr>
        <w:spacing w:after="160" w:line="276"/>
      </w:pPr>
      <w:r>
        <w:rPr>
          <w:b/>
          <w:bCs/>
          <w:color w:val="1F2937"/>
          <w:sz w:val="22"/>
          <w:szCs w:val="22"/>
        </w:rPr>
        <w:t xml:space="preserve">Voor de situatie van vandaag: </w:t>
      </w:r>
      <w:r>
        <w:rPr>
          <w:color w:val="1F2937"/>
          <w:sz w:val="22"/>
          <w:szCs w:val="22"/>
        </w:rPr>
        <w:t xml:space="preserve">de architect heeft geen mandaat om het tweede deelmoment te verschuiven of om extra capaciteit toe te wijzen. Hij heeft wel de plicht om te melden dat het tempo niet volstaat, zodra hij dat weet — niet zodra het zeker is, en niet nadat hij zelf een oplossing heeft geprobeerd te vinden.</w:t>
      </w:r>
    </w:p>
    <w:p>
      <w:pPr>
        <w:spacing w:after="160" w:line="276"/>
      </w:pPr>
      <w:r>
        <w:rPr>
          <w:b/>
          <w:bCs/>
          <w:color w:val="1F2937"/>
          <w:sz w:val="22"/>
          <w:szCs w:val="22"/>
        </w:rPr>
        <w:t xml:space="preserve">Dat laatste is de valkuil van deze week. </w:t>
      </w:r>
      <w:r>
        <w:rPr>
          <w:color w:val="1F2937"/>
          <w:sz w:val="22"/>
          <w:szCs w:val="22"/>
        </w:rPr>
        <w:t xml:space="preserve">De reflex is: eerst zelf kijken of het op te lossen is, dan pas melden. Bij een deadline die niet verschuift, kost elke dag die met zoeken wordt besteed, een dag reactietijd bij anderen.</w:t>
      </w:r>
    </w:p>
    <w:p>
      <w:pPr>
        <w:pStyle w:val="Heading1"/>
        <w:pBdr>
          <w:bottom w:val="single" w:color="E5E7EB" w:sz="6" w:space="6"/>
        </w:pBdr>
        <w:spacing w:after="180" w:before="380"/>
      </w:pPr>
      <w:r>
        <w:rPr>
          <w:b/>
          <w:bCs/>
          <w:color w:val="1F3A5F"/>
          <w:sz w:val="30"/>
          <w:szCs w:val="30"/>
        </w:rPr>
        <w:t xml:space="preserve">26.3 Verdedigbaar stoppen</w:t>
      </w:r>
    </w:p>
    <w:p>
      <w:pPr>
        <w:spacing w:after="160" w:line="276"/>
      </w:pPr>
      <w:r>
        <w:rPr>
          <w:color w:val="1F2937"/>
          <w:sz w:val="22"/>
          <w:szCs w:val="22"/>
        </w:rPr>
        <w:t xml:space="preserve">Soms is de juiste conclusie niet "harder werken" maar "hiermee stoppen" — met een deel van het werk, een aanpak, of een project. Dit is voor architecten de moeilijkste boodschap om te brengen, omdat het voelt als falen terwijl het vaak het tegenovergestelde is.</w:t>
      </w:r>
    </w:p>
    <w:p>
      <w:pPr>
        <w:spacing w:after="160" w:line="276"/>
      </w:pPr>
      <w:r>
        <w:rPr>
          <w:b/>
          <w:bCs/>
          <w:color w:val="1F2937"/>
          <w:sz w:val="22"/>
          <w:szCs w:val="22"/>
        </w:rPr>
        <w:t xml:space="preserve">Het criterium is niet wat er al is geïnvesteerd. </w:t>
      </w:r>
      <w:r>
        <w:rPr>
          <w:color w:val="1F2937"/>
          <w:sz w:val="22"/>
          <w:szCs w:val="22"/>
        </w:rPr>
        <w:t xml:space="preserve">Uit de gedragseconomie: de neiging om door te gaan omdat er al veel in is gestoken — de verzonken kosten — is een bekende denkfout, en zij is bij architecten en programmadirecteuren even sterk aanwezig als bij ieder ander.</w:t>
      </w:r>
    </w:p>
    <w:p>
      <w:pPr>
        <w:spacing w:after="160" w:line="276"/>
      </w:pPr>
      <w:r>
        <w:rPr>
          <w:b/>
          <w:bCs/>
          <w:color w:val="1F2937"/>
          <w:sz w:val="22"/>
          <w:szCs w:val="22"/>
        </w:rPr>
        <w:t xml:space="preserve">Het criterium is: prioriteren op bijdrage, niet op geschiedenis. </w:t>
      </w:r>
      <w:r>
        <w:rPr>
          <w:color w:val="1F2937"/>
          <w:sz w:val="22"/>
          <w:szCs w:val="22"/>
        </w:rPr>
        <w:t xml:space="preserve">De vraag is niet "hoeveel hebben wij hierin gestoken" maar "wat levert het vanaf nu nog op, vergeleken met het alternatief."</w:t>
      </w:r>
    </w:p>
    <w:p>
      <w:pPr>
        <w:spacing w:after="160" w:line="276"/>
      </w:pPr>
      <w:r>
        <w:rPr>
          <w:b/>
          <w:bCs/>
          <w:color w:val="1F2937"/>
          <w:sz w:val="22"/>
          <w:szCs w:val="22"/>
        </w:rPr>
        <w:t xml:space="preserve">Voor het naloopwerk: </w:t>
      </w:r>
      <w:r>
        <w:rPr>
          <w:color w:val="1F2937"/>
          <w:sz w:val="22"/>
          <w:szCs w:val="22"/>
        </w:rPr>
        <w:t xml:space="preserve">de vraag is niet of de zes weken planning "waar moeten worden gemaakt". De vraag is of doorgaan met het huidige tempo, gegeven wat er nu bekend is, de beste besteding van de resterende tijd is — vergeleken met de alternatieven uit deel 25 (deelverzameling, tijd, diepgang, zekerheid).</w:t>
      </w:r>
    </w:p>
    <w:p>
      <w:pPr>
        <w:pStyle w:val="Heading1"/>
        <w:pBdr>
          <w:bottom w:val="single" w:color="E5E7EB" w:sz="6" w:space="6"/>
        </w:pBdr>
        <w:spacing w:after="180" w:before="380"/>
      </w:pPr>
      <w:r>
        <w:rPr>
          <w:b/>
          <w:bCs/>
          <w:color w:val="1F3A5F"/>
          <w:sz w:val="30"/>
          <w:szCs w:val="30"/>
        </w:rPr>
        <w:t xml:space="preserve">26.4 De anatomie van een stopadvies</w:t>
      </w:r>
    </w:p>
    <w:p>
      <w:pPr>
        <w:spacing w:after="160" w:line="276"/>
      </w:pPr>
      <w:r>
        <w:rPr>
          <w:color w:val="1F2937"/>
          <w:sz w:val="22"/>
          <w:szCs w:val="22"/>
        </w:rPr>
        <w:t xml:space="preserve">Een advies om te stoppen — met een aanpak, een tranche, een deel van het werk — heeft een vorm die het verdedigbaar maakt. Zonder die vorm klinkt het als opgeven.</w:t>
      </w:r>
    </w:p>
    <w:p>
      <w:pPr>
        <w:spacing w:after="160" w:line="276"/>
      </w:pPr>
      <w:r>
        <w:rPr>
          <w:b/>
          <w:bCs/>
          <w:color w:val="1F2937"/>
          <w:sz w:val="22"/>
          <w:szCs w:val="22"/>
        </w:rPr>
        <w:t xml:space="preserve">Vier onderdelen, in deze volgorde:</w:t>
      </w:r>
      <w:r>
        <w:rPr>
          <w:color w:val="1F2937"/>
          <w:sz w:val="22"/>
          <w:szCs w:val="22"/>
        </w:rPr>
        <w:t xml:space="preserve"/>
      </w:r>
    </w:p>
    <w:p>
      <w:pPr>
        <w:pStyle w:val="ListParagraph"/>
        <w:numPr>
          <w:ilvl w:val="0"/>
          <w:numId w:val="3"/>
        </w:numPr>
        <w:spacing w:after="120"/>
      </w:pPr>
      <w:r>
        <w:rPr>
          <w:b/>
          <w:bCs/>
          <w:color w:val="1F2937"/>
          <w:sz w:val="22"/>
          <w:szCs w:val="22"/>
        </w:rPr>
        <w:t xml:space="preserve">De erkende bijdrage.</w:t>
      </w:r>
      <w:r>
        <w:rPr>
          <w:color w:val="1F2937"/>
          <w:sz w:val="22"/>
          <w:szCs w:val="22"/>
        </w:rPr>
        <w:t xml:space="preserve"> Wat heeft het werk tot nu toe opgeleverd? Dit komt eerst, en het is geen beleefdheid — het is feitelijk noodzakelijk. De 1.440 dossiers zijn niet voor niets beoordeeld: van 340 is nu bekend welke ingangsdatum correct is, en van de rest is de omvang van het probleem in kaart. Zonder dit deel klinkt een stopadvies als een ontkenning van het werk dat mensen hebben gedaan, en dat maakt het onnodig moeilijk te accepteren.</w:t>
      </w:r>
    </w:p>
    <w:p>
      <w:pPr>
        <w:pStyle w:val="ListParagraph"/>
        <w:numPr>
          <w:ilvl w:val="0"/>
          <w:numId w:val="3"/>
        </w:numPr>
        <w:spacing w:after="120"/>
      </w:pPr>
      <w:r>
        <w:rPr>
          <w:b/>
          <w:bCs/>
          <w:color w:val="1F2937"/>
          <w:sz w:val="22"/>
          <w:szCs w:val="22"/>
        </w:rPr>
        <w:t xml:space="preserve">De relatieve afweging.</w:t>
      </w:r>
      <w:r>
        <w:rPr>
          <w:color w:val="1F2937"/>
          <w:sz w:val="22"/>
          <w:szCs w:val="22"/>
        </w:rPr>
        <w:t xml:space="preserve"> Wat kost doorgaan, tegenover wat het alternatief kost — niet in het algemeen, maar vanaf vandaag. "Doorgaan op het huidige tempo haalt het tweede deelmoment niet. Overschakelen op de deelverzameling-aanpak uit optie 2 haalt het wel, voor 98,3% van de dossiers, met een gemelde restgroep."</w:t>
      </w:r>
    </w:p>
    <w:p>
      <w:pPr>
        <w:pStyle w:val="ListParagraph"/>
        <w:numPr>
          <w:ilvl w:val="0"/>
          <w:numId w:val="3"/>
        </w:numPr>
        <w:spacing w:after="120"/>
      </w:pPr>
      <w:r>
        <w:rPr>
          <w:b/>
          <w:bCs/>
          <w:color w:val="1F2937"/>
          <w:sz w:val="22"/>
          <w:szCs w:val="22"/>
        </w:rPr>
        <w:t xml:space="preserve">Het lot van het werk.</w:t>
      </w:r>
      <w:r>
        <w:rPr>
          <w:color w:val="1F2937"/>
          <w:sz w:val="22"/>
          <w:szCs w:val="22"/>
        </w:rPr>
        <w:t xml:space="preserve"> Wat gebeurt er met wat al is gedaan? Gaat het verloren, of is het herbruikbaar? Bij het naloopwerk: de 340 beoordeelde ingangsdatums blijven staan; het is niet weggegooid werk, het is een kleinere schaal dan gepland.</w:t>
      </w:r>
    </w:p>
    <w:p>
      <w:pPr>
        <w:pStyle w:val="ListParagraph"/>
        <w:numPr>
          <w:ilvl w:val="0"/>
          <w:numId w:val="3"/>
        </w:numPr>
        <w:spacing w:after="120"/>
      </w:pPr>
      <w:r>
        <w:rPr>
          <w:b/>
          <w:bCs/>
          <w:color w:val="1F2937"/>
          <w:sz w:val="22"/>
          <w:szCs w:val="22"/>
        </w:rPr>
        <w:t xml:space="preserve">Het besluit bij de opdrachtgever.</w:t>
      </w:r>
      <w:r>
        <w:rPr>
          <w:color w:val="1F2937"/>
          <w:sz w:val="22"/>
          <w:szCs w:val="22"/>
        </w:rPr>
        <w:t xml:space="preserve"> U adviseert, u beslist niet. Dat is de rolgrens uit deel 20 en 25, hier op haar zwaarste toepassing: stoppen met een aanpak die de organisatie heeft goedgekeurd, is een besluit met politieke gevolgen, en dat besluit is niet aan de architect.</w:t>
      </w:r>
    </w:p>
    <w:p>
      <w:pPr>
        <w:spacing w:after="160" w:line="276"/>
      </w:pPr>
      <w:r>
        <w:rPr>
          <w:b/>
          <w:bCs/>
          <w:color w:val="1F2937"/>
          <w:sz w:val="22"/>
          <w:szCs w:val="22"/>
        </w:rPr>
        <w:t xml:space="preserve">Wat er misgaat zonder deze vorm: </w:t>
      </w:r>
      <w:r>
        <w:rPr>
          <w:color w:val="1F2937"/>
          <w:sz w:val="22"/>
          <w:szCs w:val="22"/>
        </w:rPr>
        <w:t xml:space="preserve">een stopadvies dat direct met de conclusie begint ("dit gaat niet lukken, wij moeten stoppen") wordt gehoord als een aanval op het werk van de mensen die eraan zaten. Met de vorm — eerst wat het opleverde, dan de afweging, dan wat behouden blijft — wordt hetzelfde advies gehoord als een analyse.</w:t>
      </w:r>
    </w:p>
    <w:p>
      <w:pPr>
        <w:pStyle w:val="Heading1"/>
        <w:pBdr>
          <w:bottom w:val="single" w:color="E5E7EB" w:sz="6" w:space="6"/>
        </w:pBdr>
        <w:spacing w:after="180" w:before="380"/>
      </w:pPr>
      <w:r>
        <w:rPr>
          <w:b/>
          <w:bCs/>
          <w:color w:val="1F3A5F"/>
          <w:sz w:val="30"/>
          <w:szCs w:val="30"/>
        </w:rPr>
        <w:t xml:space="preserve">26.5 Legitiem optimistisch of misleidend</w:t>
      </w:r>
    </w:p>
    <w:p>
      <w:pPr>
        <w:spacing w:after="160" w:line="276"/>
      </w:pPr>
      <w:r>
        <w:rPr>
          <w:color w:val="1F2937"/>
          <w:sz w:val="22"/>
          <w:szCs w:val="22"/>
        </w:rPr>
        <w:t xml:space="preserve">Tussen "het gaat goed" en "het gaat niet goed" ligt een grens die architecten voortdurend beheren, meestal zonder het te benoemen.</w:t>
      </w:r>
    </w:p>
    <w:p>
      <w:pPr>
        <w:spacing w:after="160" w:line="276"/>
      </w:pPr>
      <w:r>
        <w:rPr>
          <w:b/>
          <w:bCs/>
          <w:color w:val="1F2937"/>
          <w:sz w:val="22"/>
          <w:szCs w:val="22"/>
        </w:rPr>
        <w:t xml:space="preserve">Legitiem optimistisch: </w:t>
      </w:r>
      <w:r>
        <w:rPr>
          <w:color w:val="1F2937"/>
          <w:sz w:val="22"/>
          <w:szCs w:val="22"/>
        </w:rPr>
        <w:t xml:space="preserve">een inschatting die naar boven afwijkt, met de onzekerheid benoemd. "Wij verwachten het tweede deelmoment te halen als de capaciteit op peil blijft; dat is nog niet zeker."</w:t>
      </w:r>
    </w:p>
    <w:p>
      <w:pPr>
        <w:spacing w:after="160" w:line="276"/>
      </w:pPr>
      <w:r>
        <w:rPr>
          <w:b/>
          <w:bCs/>
          <w:color w:val="1F2937"/>
          <w:sz w:val="22"/>
          <w:szCs w:val="22"/>
        </w:rPr>
        <w:t xml:space="preserve">Misleidend: </w:t>
      </w:r>
      <w:r>
        <w:rPr>
          <w:color w:val="1F2937"/>
          <w:sz w:val="22"/>
          <w:szCs w:val="22"/>
        </w:rPr>
        <w:t xml:space="preserve">een inschatting die de onzekerheid verbergt. "Wij liggen op koers voor het tweede deelmoment" — gezegd op het moment dat bekend is dat het tempo niet volstaat.</w:t>
      </w:r>
    </w:p>
    <w:p>
      <w:pPr>
        <w:spacing w:after="160" w:line="276"/>
      </w:pPr>
      <w:r>
        <w:rPr>
          <w:b/>
          <w:bCs/>
          <w:color w:val="1F2937"/>
          <w:sz w:val="22"/>
          <w:szCs w:val="22"/>
        </w:rPr>
        <w:t xml:space="preserve">De grens </w:t>
      </w:r>
      <w:r>
        <w:rPr>
          <w:color w:val="1F2937"/>
          <w:sz w:val="22"/>
          <w:szCs w:val="22"/>
        </w:rPr>
        <w:t xml:space="preserve">is niet de mate van optimisme maar of de aannames expliciet zijn versus verborgen. Beide zinnen kunnen waar zijn op het moment dat zij worden gezegd; het verschil zit in wat de luisteraar ermee kan.</w:t>
      </w:r>
    </w:p>
    <w:p>
      <w:pPr>
        <w:spacing w:after="160" w:line="276"/>
      </w:pPr>
      <w:r>
        <w:rPr>
          <w:color w:val="1F2937"/>
          <w:sz w:val="22"/>
          <w:szCs w:val="22"/>
        </w:rPr>
        <w:t xml:space="preserve">De eerste zin geeft de programmadirecteur informatie waarmee hij kan handelen: er is een risico, het is nog niet zeker. De tweede zin geeft hem een vals gevoel van zekerheid, en dat kost hem de tijd om te reageren.</w:t>
      </w:r>
    </w:p>
    <w:p>
      <w:pPr>
        <w:spacing w:after="160" w:line="276"/>
      </w:pPr>
      <w:r>
        <w:rPr>
          <w:b/>
          <w:bCs/>
          <w:color w:val="1F2937"/>
          <w:sz w:val="22"/>
          <w:szCs w:val="22"/>
        </w:rPr>
        <w:t xml:space="preserve">Een snelle controle die u zichzelf kunt stellen </w:t>
      </w:r>
      <w:r>
        <w:rPr>
          <w:color w:val="1F2937"/>
          <w:sz w:val="22"/>
          <w:szCs w:val="22"/>
        </w:rPr>
        <w:t xml:space="preserve">vóór u iets rapporteert: als de ontvanger van dit bericht morgen ontdekt wat ik nu al weet, voelt hij zich dan geïnformeerd of misleid?</w:t>
      </w:r>
    </w:p>
    <w:p>
      <w:pPr>
        <w:spacing w:after="160" w:line="276"/>
      </w:pPr>
      <w:r>
        <w:rPr>
          <w:color w:val="1F2937"/>
          <w:sz w:val="22"/>
          <w:szCs w:val="22"/>
        </w:rPr>
        <w:t xml:space="preserve">Dat is geen juridische toets en geen formele procedure — het is een vraag die u zichzelf stelt, snel, vóór het bericht de deur uit gaat. Bij de zin over "op koers liggen" is het antwoord duidelijk: hij zou zich misleid voelen, want u wist het al.</w:t>
      </w:r>
    </w:p>
    <w:p>
      <w:pPr>
        <w:spacing w:after="160" w:line="276"/>
      </w:pPr>
      <w:r>
        <w:rPr>
          <w:b/>
          <w:bCs/>
          <w:color w:val="1F2937"/>
          <w:sz w:val="22"/>
          <w:szCs w:val="22"/>
        </w:rPr>
        <w:t xml:space="preserve">Waar dit vaak misgaat is niet bij een leugen </w:t>
      </w:r>
      <w:r>
        <w:rPr>
          <w:color w:val="1F2937"/>
          <w:sz w:val="22"/>
          <w:szCs w:val="22"/>
        </w:rPr>
        <w:t xml:space="preserve">maar bij precisie die naar de gunstige kant afrondt: "grotendeels op schema" wanneer twee van de zes weken zijn verstreken en er nog geen zichtbare voortgang is. Dat is geen onwaarheid — het is een formulering die de onzekerheid wegneemt in plaats van haar te benoemen.</w:t>
      </w:r>
    </w:p>
    <w:p>
      <w:pPr>
        <w:pStyle w:val="Heading1"/>
        <w:pBdr>
          <w:bottom w:val="single" w:color="E5E7EB" w:sz="6" w:space="6"/>
        </w:pBdr>
        <w:spacing w:after="180" w:before="380"/>
      </w:pPr>
      <w:r>
        <w:rPr>
          <w:b/>
          <w:bCs/>
          <w:color w:val="1F3A5F"/>
          <w:sz w:val="30"/>
          <w:szCs w:val="30"/>
        </w:rPr>
        <w:t xml:space="preserve">26.6 Wanneer niemand het wil horen</w:t>
      </w:r>
    </w:p>
    <w:p>
      <w:pPr>
        <w:spacing w:after="160" w:line="276"/>
      </w:pPr>
      <w:r>
        <w:rPr>
          <w:color w:val="1F2937"/>
          <w:sz w:val="22"/>
          <w:szCs w:val="22"/>
        </w:rPr>
        <w:t xml:space="preserve">De moeilijkste situatie is niet het melden zelf, maar het melden aan mensen die het niet willen horen — een programmadirecteur onder eigen druk, een stuurgroep die net een positief verhaal aan de eigen bestuurders heeft verteld.</w:t>
      </w:r>
    </w:p>
    <w:p>
      <w:pPr>
        <w:spacing w:after="160" w:line="276"/>
      </w:pPr>
      <w:r>
        <w:rPr>
          <w:b/>
          <w:bCs/>
          <w:color w:val="1F2937"/>
          <w:sz w:val="22"/>
          <w:szCs w:val="22"/>
        </w:rPr>
        <w:t xml:space="preserve">Wat niet werkt:</w:t>
      </w:r>
      <w:r>
        <w:rPr>
          <w:color w:val="1F2937"/>
          <w:sz w:val="22"/>
          <w:szCs w:val="22"/>
        </w:rPr>
        <w:t xml:space="preserve"/>
      </w:r>
    </w:p>
    <w:p>
      <w:pPr>
        <w:pStyle w:val="ListParagraph"/>
        <w:numPr>
          <w:ilvl w:val="0"/>
          <w:numId w:val="4"/>
        </w:numPr>
        <w:spacing w:after="100"/>
      </w:pPr>
      <w:r>
        <w:rPr>
          <w:b/>
          <w:bCs/>
          <w:color w:val="1F2937"/>
          <w:sz w:val="22"/>
          <w:szCs w:val="22"/>
        </w:rPr>
        <w:t xml:space="preserve">Wachten op een beter moment.</w:t>
      </w:r>
      <w:r>
        <w:rPr>
          <w:color w:val="1F2937"/>
          <w:sz w:val="22"/>
          <w:szCs w:val="22"/>
        </w:rPr>
        <w:t xml:space="preserve"> Dat moment komt niet; de situatie verslechtert doorgaans terwijl u wacht.</w:t>
      </w:r>
    </w:p>
    <w:p>
      <w:pPr>
        <w:pStyle w:val="ListParagraph"/>
        <w:numPr>
          <w:ilvl w:val="0"/>
          <w:numId w:val="4"/>
        </w:numPr>
        <w:spacing w:after="100"/>
      </w:pPr>
      <w:r>
        <w:rPr>
          <w:b/>
          <w:bCs/>
          <w:color w:val="1F2937"/>
          <w:sz w:val="22"/>
          <w:szCs w:val="22"/>
        </w:rPr>
        <w:t xml:space="preserve">Het inpakken in goed nieuws.</w:t>
      </w:r>
      <w:r>
        <w:rPr>
          <w:color w:val="1F2937"/>
          <w:sz w:val="22"/>
          <w:szCs w:val="22"/>
        </w:rPr>
        <w:t xml:space="preserve"> "We hebben grote voortgang geboekt, en er is ook een aandachtspunt" verstopt het aandachtspunt.</w:t>
      </w:r>
    </w:p>
    <w:p>
      <w:pPr>
        <w:pStyle w:val="ListParagraph"/>
        <w:numPr>
          <w:ilvl w:val="0"/>
          <w:numId w:val="4"/>
        </w:numPr>
        <w:spacing w:after="100"/>
      </w:pPr>
      <w:r>
        <w:rPr>
          <w:b/>
          <w:bCs/>
          <w:color w:val="1F2937"/>
          <w:sz w:val="22"/>
          <w:szCs w:val="22"/>
        </w:rPr>
        <w:t xml:space="preserve">Het aan iemand anders overlaten.</w:t>
      </w:r>
      <w:r>
        <w:rPr>
          <w:color w:val="1F2937"/>
          <w:sz w:val="22"/>
          <w:szCs w:val="22"/>
        </w:rPr>
        <w:t xml:space="preserve"> Als u het weet en u zwijgt, is de verantwoordelijkheid niet weg — zij is alleen niet uitgeoefend.</w:t>
      </w:r>
    </w:p>
    <w:p>
      <w:pPr>
        <w:spacing w:after="160" w:line="276"/>
      </w:pPr>
      <w:r>
        <w:rPr>
          <w:b/>
          <w:bCs/>
          <w:color w:val="1F2937"/>
          <w:sz w:val="22"/>
          <w:szCs w:val="22"/>
        </w:rPr>
        <w:t xml:space="preserve">Wat wel werkt:</w:t>
      </w:r>
      <w:r>
        <w:rPr>
          <w:color w:val="1F2937"/>
          <w:sz w:val="22"/>
          <w:szCs w:val="22"/>
        </w:rPr>
        <w:t xml:space="preserve"/>
      </w:r>
    </w:p>
    <w:p>
      <w:pPr>
        <w:spacing w:after="160" w:line="276"/>
      </w:pPr>
      <w:r>
        <w:rPr>
          <w:b/>
          <w:bCs/>
          <w:color w:val="1F2937"/>
          <w:sz w:val="22"/>
          <w:szCs w:val="22"/>
        </w:rPr>
        <w:t xml:space="preserve">Melden zodra u het zeker genoeg weet, niet zodra het volledig zeker is. </w:t>
      </w:r>
      <w:r>
        <w:rPr>
          <w:color w:val="1F2937"/>
          <w:sz w:val="22"/>
          <w:szCs w:val="22"/>
        </w:rPr>
        <w:t xml:space="preserve">Bij een deadline die niet verschuift, is wachten tot volledige zekerheid een keuze om reactietijd weg te geven.</w:t>
      </w:r>
    </w:p>
    <w:p>
      <w:pPr>
        <w:spacing w:after="160" w:line="276"/>
      </w:pPr>
      <w:r>
        <w:rPr>
          <w:b/>
          <w:bCs/>
          <w:color w:val="1F2937"/>
          <w:sz w:val="22"/>
          <w:szCs w:val="22"/>
        </w:rPr>
        <w:t xml:space="preserve">De feiten apart van het advies. </w:t>
      </w:r>
      <w:r>
        <w:rPr>
          <w:color w:val="1F2937"/>
          <w:sz w:val="22"/>
          <w:szCs w:val="22"/>
        </w:rPr>
        <w:t xml:space="preserve">"Op het huidige tempo is het naloopwerk niet klaar vóór deelmoment twee. Dat is een feit, gebaseerd op [gegevens]. Mijn advies is [x], en dat is een advies — de beslissing is aan u." Het scheiden van feit en advies maakt het voor de ontvanger makkelijker het feit te accepteren zonder meteen het advies te moeten beoordelen.</w:t>
      </w:r>
    </w:p>
    <w:p>
      <w:pPr>
        <w:spacing w:after="160" w:line="276"/>
      </w:pPr>
      <w:r>
        <w:rPr>
          <w:b/>
          <w:bCs/>
          <w:color w:val="1F2937"/>
          <w:sz w:val="22"/>
          <w:szCs w:val="22"/>
        </w:rPr>
        <w:t xml:space="preserve">Eén keer zeggen, dan vastleggen, dan door. </w:t>
      </w:r>
      <w:r>
        <w:rPr>
          <w:color w:val="1F2937"/>
          <w:sz w:val="22"/>
          <w:szCs w:val="22"/>
        </w:rPr>
        <w:t xml:space="preserve">Als het bericht niet wordt opgepakt, is herhalen met meer nadruk zelden effectief. Vastleggen dat het gemeld is, met datum en aan wie, beschermt de organisatie en uzelf — en het is geen manoeuvre maar een feit dat later relevant kan worden.</w:t>
      </w:r>
    </w:p>
    <w:p>
      <w:pPr>
        <w:pStyle w:val="Heading1"/>
        <w:pBdr>
          <w:bottom w:val="single" w:color="E5E7EB" w:sz="6" w:space="6"/>
        </w:pBdr>
        <w:spacing w:after="180" w:before="380"/>
      </w:pPr>
      <w:r>
        <w:rPr>
          <w:b/>
          <w:bCs/>
          <w:color w:val="1F3A5F"/>
          <w:sz w:val="30"/>
          <w:szCs w:val="30"/>
        </w:rPr>
        <w:t xml:space="preserve">26.7 De grens van uw verantwoordelijkheid</w:t>
      </w:r>
    </w:p>
    <w:p>
      <w:pPr>
        <w:spacing w:after="160" w:line="276"/>
      </w:pPr>
      <w:r>
        <w:rPr>
          <w:color w:val="1F2937"/>
          <w:sz w:val="22"/>
          <w:szCs w:val="22"/>
        </w:rPr>
        <w:t xml:space="preserve">Dit deel eindigt bij een vraag die niet volledig oplosbaar is, en het is eerlijker dat te erkennen dan een schijnzekerheid te bieden.</w:t>
      </w:r>
    </w:p>
    <w:p>
      <w:pPr>
        <w:spacing w:after="160" w:line="276"/>
      </w:pPr>
      <w:r>
        <w:rPr>
          <w:b/>
          <w:bCs/>
          <w:color w:val="1F2937"/>
          <w:sz w:val="22"/>
          <w:szCs w:val="22"/>
        </w:rPr>
        <w:t xml:space="preserve">U bent verantwoordelijk voor: </w:t>
      </w:r>
      <w:r>
        <w:rPr>
          <w:color w:val="1F2937"/>
          <w:sz w:val="22"/>
          <w:szCs w:val="22"/>
        </w:rPr>
        <w:t xml:space="preserve">het signaleren, het scherp maken van de afweging, het benoemen van de grens, en het vastleggen van wat u hebt gezegd.</w:t>
      </w:r>
    </w:p>
    <w:p>
      <w:pPr>
        <w:spacing w:after="160" w:line="276"/>
      </w:pPr>
      <w:r>
        <w:rPr>
          <w:b/>
          <w:bCs/>
          <w:color w:val="1F2937"/>
          <w:sz w:val="22"/>
          <w:szCs w:val="22"/>
        </w:rPr>
        <w:t xml:space="preserve">U bent niet verantwoordelijk voor: </w:t>
      </w:r>
      <w:r>
        <w:rPr>
          <w:color w:val="1F2937"/>
          <w:sz w:val="22"/>
          <w:szCs w:val="22"/>
        </w:rPr>
        <w:t xml:space="preserve">het besluit van een ander, de gevolgen van een besluit dat tegen uw advies inging, en de omstandigheden die de situatie veroorzaakten voordat u ervan wist.</w:t>
      </w:r>
    </w:p>
    <w:p>
      <w:pPr>
        <w:spacing w:after="160" w:line="276"/>
      </w:pPr>
      <w:r>
        <w:rPr>
          <w:b/>
          <w:bCs/>
          <w:color w:val="1F2937"/>
          <w:sz w:val="22"/>
          <w:szCs w:val="22"/>
        </w:rPr>
        <w:t xml:space="preserve">Waar het onduidelijk wordt: </w:t>
      </w:r>
      <w:r>
        <w:rPr>
          <w:color w:val="1F2937"/>
          <w:sz w:val="22"/>
          <w:szCs w:val="22"/>
        </w:rPr>
        <w:t xml:space="preserve">als u het bij één keer melden laat en de situatie verslechtert zichtbaar, is dan opnieuw melden uw verantwoordelijkheid? Doorgaans wel, en de reden is niet plichtsbesef maar informatie — de situatie is veranderd sinds de eerste melding, en dat is nieuw feitenmateriaal, geen herhaling.</w:t>
      </w:r>
    </w:p>
    <w:p>
      <w:pPr>
        <w:spacing w:after="160" w:line="276"/>
      </w:pPr>
      <w:r>
        <w:rPr>
          <w:b/>
          <w:bCs/>
          <w:color w:val="1F2937"/>
          <w:sz w:val="22"/>
          <w:szCs w:val="22"/>
        </w:rPr>
        <w:t xml:space="preserve">Het onderscheid dat helpt: </w:t>
      </w:r>
      <w:r>
        <w:rPr>
          <w:color w:val="1F2937"/>
          <w:sz w:val="22"/>
          <w:szCs w:val="22"/>
        </w:rPr>
        <w:t xml:space="preserve">herhalen omdat u niet gehoord bent, is zelden nuttig. Opnieuw melden omdat er iets veranderd is — een nieuw feit, een verslechtering, een naderend punt zonder terugweg — is een nieuwe melding, geen herhaling, en die hoort te gebeuren.</w:t>
      </w:r>
    </w:p>
    <w:p>
      <w:pPr>
        <w:spacing w:after="160" w:line="276"/>
      </w:pPr>
      <w:r>
        <w:rPr>
          <w:b/>
          <w:bCs/>
          <w:color w:val="1F2937"/>
          <w:sz w:val="22"/>
          <w:szCs w:val="22"/>
        </w:rPr>
        <w:t xml:space="preserve">Wat er met dit alles niet wordt beweerd: </w:t>
      </w:r>
      <w:r>
        <w:rPr>
          <w:color w:val="1F2937"/>
          <w:sz w:val="22"/>
          <w:szCs w:val="22"/>
        </w:rPr>
        <w:t xml:space="preserve">dat een architect die correct heeft gemeld, nooit meer aansprakelijk wordt gehouden wanneer het misgaat. Organisaties zijn niet altijd rechtvaardig, en het vastleggen van een melding is geen garantie — het is wel het enige instrument dat u hebt, en het is beter dan het alternatief.</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4"/>
        </w:numPr>
        <w:spacing w:after="100"/>
      </w:pPr>
      <w:r>
        <w:rPr>
          <w:color w:val="1F2937"/>
          <w:sz w:val="22"/>
          <w:szCs w:val="22"/>
        </w:rPr>
        <w:t xml:space="preserve">Mandaat, invloed en zwijgen zijn drie posities. Zwijgen is nooit geldig. Invloed uitoefenen betekent niet winnen — overruled worden na een serieuze poging is een geldige uitkomst.</w:t>
      </w:r>
    </w:p>
    <w:p>
      <w:pPr>
        <w:pStyle w:val="ListParagraph"/>
        <w:numPr>
          <w:ilvl w:val="0"/>
          <w:numId w:val="4"/>
        </w:numPr>
        <w:spacing w:after="100"/>
      </w:pPr>
      <w:r>
        <w:rPr>
          <w:color w:val="1F2937"/>
          <w:sz w:val="22"/>
          <w:szCs w:val="22"/>
        </w:rPr>
        <w:t xml:space="preserve">Verdedigbaar stoppen prioriteert op bijdrage vanaf nu, niet op wat er al is geïnvesteerd. Verzonken kosten zijn geen argument.</w:t>
      </w:r>
    </w:p>
    <w:p>
      <w:pPr>
        <w:pStyle w:val="ListParagraph"/>
        <w:numPr>
          <w:ilvl w:val="0"/>
          <w:numId w:val="4"/>
        </w:numPr>
        <w:spacing w:after="100"/>
      </w:pPr>
      <w:r>
        <w:rPr>
          <w:color w:val="1F2937"/>
          <w:sz w:val="22"/>
          <w:szCs w:val="22"/>
        </w:rPr>
        <w:t xml:space="preserve">Een stopadvies heeft vier onderdelen in vaste volgorde: de erkende bijdrage, de relatieve afweging, het lot van het werk, en het besluit bij de opdrachtgever. Zonder de eerste twee wordt het gehoord als aanval in plaats van analyse.</w:t>
      </w:r>
    </w:p>
    <w:p>
      <w:pPr>
        <w:pStyle w:val="ListParagraph"/>
        <w:numPr>
          <w:ilvl w:val="0"/>
          <w:numId w:val="4"/>
        </w:numPr>
        <w:spacing w:after="100"/>
      </w:pPr>
      <w:r>
        <w:rPr>
          <w:color w:val="1F2937"/>
          <w:sz w:val="22"/>
          <w:szCs w:val="22"/>
        </w:rPr>
        <w:t xml:space="preserve">De grens tussen legitiem optimisme en misleiding is niet de mate van optimisme maar of de aannames expliciet zijn. De toets: voelt de ontvanger zich morgen geïnformeerd of misleid?</w:t>
      </w:r>
    </w:p>
    <w:p>
      <w:pPr>
        <w:pStyle w:val="ListParagraph"/>
        <w:numPr>
          <w:ilvl w:val="0"/>
          <w:numId w:val="4"/>
        </w:numPr>
        <w:spacing w:after="100"/>
      </w:pPr>
      <w:r>
        <w:rPr>
          <w:color w:val="1F2937"/>
          <w:sz w:val="22"/>
          <w:szCs w:val="22"/>
        </w:rPr>
        <w:t xml:space="preserve">De gevaarlijkste formulering is niet de leugen maar de gunstige afronding: "grotendeels op schema" wanneer de onzekerheid groot is.</w:t>
      </w:r>
    </w:p>
    <w:p>
      <w:pPr>
        <w:pStyle w:val="ListParagraph"/>
        <w:numPr>
          <w:ilvl w:val="0"/>
          <w:numId w:val="4"/>
        </w:numPr>
        <w:spacing w:after="100"/>
      </w:pPr>
      <w:r>
        <w:rPr>
          <w:color w:val="1F2937"/>
          <w:sz w:val="22"/>
          <w:szCs w:val="22"/>
        </w:rPr>
        <w:t xml:space="preserve">Wachten op een beter moment, inpakken in goed nieuws, en het aan een ander overlaten werken geen van drieën. Meld zodra u het zeker genoeg weet, scheid feit van advies, en leg vast.</w:t>
      </w:r>
    </w:p>
    <w:p>
      <w:pPr>
        <w:pStyle w:val="ListParagraph"/>
        <w:numPr>
          <w:ilvl w:val="0"/>
          <w:numId w:val="4"/>
        </w:numPr>
        <w:spacing w:after="100"/>
      </w:pPr>
      <w:r>
        <w:rPr>
          <w:color w:val="1F2937"/>
          <w:sz w:val="22"/>
          <w:szCs w:val="22"/>
        </w:rPr>
        <w:t xml:space="preserve">U bent verantwoordelijk voor het signaleren en het scherp maken; niet voor het besluit van een ander. Opnieuw melden bij een nieuw feit is geen herhaling.</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Mandaat, invloed, zwijgen — </w:t>
      </w:r>
      <w:r>
        <w:rPr>
          <w:color w:val="1F2937"/>
          <w:sz w:val="22"/>
          <w:szCs w:val="22"/>
        </w:rPr>
        <w:t xml:space="preserve">respectievelijk zelf beslissen, overtuigen zonder bevoegdheid, en niet handelen; alleen de laatste is nooit geldig.</w:t>
      </w:r>
    </w:p>
    <w:p>
      <w:pPr>
        <w:spacing w:after="160" w:line="276"/>
      </w:pPr>
      <w:r>
        <w:rPr>
          <w:b/>
          <w:bCs/>
          <w:color w:val="1F2937"/>
          <w:sz w:val="22"/>
          <w:szCs w:val="22"/>
        </w:rPr>
        <w:t xml:space="preserve">Verzonken kosten — </w:t>
      </w:r>
      <w:r>
        <w:rPr>
          <w:color w:val="1F2937"/>
          <w:sz w:val="22"/>
          <w:szCs w:val="22"/>
        </w:rPr>
        <w:t xml:space="preserve">geïnvesteerde tijd of geld die geen argument is voor doorgaan, omdat zij niet terugkomt ongeacht de keuze.</w:t>
      </w:r>
    </w:p>
    <w:p>
      <w:pPr>
        <w:spacing w:after="160" w:line="276"/>
      </w:pPr>
      <w:r>
        <w:rPr>
          <w:b/>
          <w:bCs/>
          <w:color w:val="1F2937"/>
          <w:sz w:val="22"/>
          <w:szCs w:val="22"/>
        </w:rPr>
        <w:t xml:space="preserve">Stopadvies — </w:t>
      </w:r>
      <w:r>
        <w:rPr>
          <w:color w:val="1F2937"/>
          <w:sz w:val="22"/>
          <w:szCs w:val="22"/>
        </w:rPr>
        <w:t xml:space="preserve">een advies om te stoppen, opgebouwd uit erkende bijdrage, relatieve afweging, lot van het werk, en besluit bij de opdrachtgever.</w:t>
      </w:r>
    </w:p>
    <w:p>
      <w:pPr>
        <w:spacing w:after="160" w:line="276"/>
      </w:pPr>
      <w:r>
        <w:rPr>
          <w:b/>
          <w:bCs/>
          <w:color w:val="1F2937"/>
          <w:sz w:val="22"/>
          <w:szCs w:val="22"/>
        </w:rPr>
        <w:t xml:space="preserve">Legitiem optimisme — </w:t>
      </w:r>
      <w:r>
        <w:rPr>
          <w:color w:val="1F2937"/>
          <w:sz w:val="22"/>
          <w:szCs w:val="22"/>
        </w:rPr>
        <w:t xml:space="preserve">een positieve inschatting met de onzekerheid expliciet benoemd.</w:t>
      </w:r>
    </w:p>
    <w:p>
      <w:pPr>
        <w:spacing w:after="160" w:line="276"/>
      </w:pPr>
      <w:r>
        <w:rPr>
          <w:b/>
          <w:bCs/>
          <w:color w:val="1F2937"/>
          <w:sz w:val="22"/>
          <w:szCs w:val="22"/>
        </w:rPr>
        <w:t xml:space="preserve">De toets — </w:t>
      </w:r>
      <w:r>
        <w:rPr>
          <w:color w:val="1F2937"/>
          <w:sz w:val="22"/>
          <w:szCs w:val="22"/>
        </w:rPr>
        <w:t xml:space="preserve">de snelle controlevraag of de ontvanger zich bij latere kennis geïnformeerd of misleid zou voelen.</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4"/>
        </w:numPr>
        <w:spacing w:after="100"/>
      </w:pPr>
      <w:r>
        <w:rPr>
          <w:color w:val="1F2937"/>
          <w:sz w:val="22"/>
          <w:szCs w:val="22"/>
        </w:rPr>
        <w:t xml:space="preserve">Sunstein &amp; Hastie, Wiser — over groepsbesluitvorming en waarom slecht nieuws wordt onderdrukt.</w:t>
      </w:r>
    </w:p>
    <w:p>
      <w:pPr>
        <w:pStyle w:val="ListParagraph"/>
        <w:numPr>
          <w:ilvl w:val="0"/>
          <w:numId w:val="4"/>
        </w:numPr>
        <w:spacing w:after="100"/>
      </w:pPr>
      <w:r>
        <w:rPr>
          <w:color w:val="1F2937"/>
          <w:sz w:val="22"/>
          <w:szCs w:val="22"/>
        </w:rPr>
        <w:t xml:space="preserve">Edmondson, The Fearless Organization — over psychologische veiligheid en waarom mensen zwijgen.</w:t>
      </w:r>
    </w:p>
    <w:p>
      <w:pPr>
        <w:pStyle w:val="ListParagraph"/>
        <w:numPr>
          <w:ilvl w:val="0"/>
          <w:numId w:val="4"/>
        </w:numPr>
        <w:spacing w:after="100"/>
      </w:pPr>
      <w:r>
        <w:rPr>
          <w:color w:val="1F2937"/>
          <w:sz w:val="22"/>
          <w:szCs w:val="22"/>
        </w:rPr>
        <w:t xml:space="preserve">Deel 20 van deze cursus, over doorzetten, meebewegen en escaleren.</w:t>
      </w:r>
    </w:p>
    <w:p>
      <w:pPr>
        <w:pBdr>
          <w:top w:val="single" w:color="E5E7EB" w:sz="4" w:space="8"/>
        </w:pBdr>
        <w:spacing w:before="400"/>
        <w:jc w:val="center"/>
      </w:pPr>
      <w:r>
        <w:rPr>
          <w:i/>
          <w:iCs/>
          <w:color w:val="6B7280"/>
          <w:sz w:val="17"/>
          <w:szCs w:val="17"/>
        </w:rPr>
        <w:t xml:space="preserve">Ductus B.V. · Cursus Softwarearchitectuur · Niveau 3, deel 26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2026-08-17T19:52:54.985Z</dcterms:created>
  <dcterms:modified xsi:type="dcterms:W3CDTF">2026-08-17T19:52:54.986Z</dcterms:modified>
</cp:coreProperties>
</file>

<file path=docProps/custom.xml><?xml version="1.0" encoding="utf-8"?>
<Properties xmlns="http://schemas.openxmlformats.org/officeDocument/2006/custom-properties" xmlns:vt="http://schemas.openxmlformats.org/officeDocument/2006/docPropsVTypes"/>
</file>