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26 — Verdedigbaar stoppen en melden</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26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CQ: het capaciteitsverslag van de administratie over de laatste zes weken, met de storing en de reguliere mutatiestroom</w:t>
      </w:r>
    </w:p>
    <w:p>
      <w:pPr>
        <w:pStyle w:val="ListParagraph"/>
        <w:numPr>
          <w:ilvl w:val="0"/>
          <w:numId w:val="2"/>
        </w:numPr>
        <w:spacing w:after="100"/>
      </w:pPr>
      <w:r>
        <w:rPr>
          <w:color w:val="1F2937"/>
          <w:sz w:val="22"/>
          <w:szCs w:val="22"/>
        </w:rPr>
        <w:t xml:space="preserve">Bijlage CR: de drie eerdere "op schema"-rapportages aan de stuurgroep, letterlijk</w:t>
      </w:r>
    </w:p>
    <w:p>
      <w:pPr>
        <w:pStyle w:val="ListParagraph"/>
        <w:numPr>
          <w:ilvl w:val="0"/>
          <w:numId w:val="2"/>
        </w:numPr>
        <w:spacing w:after="100"/>
      </w:pPr>
      <w:r>
        <w:rPr>
          <w:color w:val="1F2937"/>
          <w:sz w:val="22"/>
          <w:szCs w:val="22"/>
        </w:rPr>
        <w:t xml:space="preserve">Bijlage CS: vier casussen van meldingen uit de sector, geanonimiseerd, met de afloop</w:t>
      </w:r>
    </w:p>
    <w:p>
      <w:pPr>
        <w:pStyle w:val="ListParagraph"/>
        <w:numPr>
          <w:ilvl w:val="0"/>
          <w:numId w:val="2"/>
        </w:numPr>
        <w:spacing w:after="100"/>
      </w:pPr>
      <w:r>
        <w:rPr>
          <w:color w:val="1F2937"/>
          <w:sz w:val="22"/>
          <w:szCs w:val="22"/>
        </w:rPr>
        <w:t xml:space="preserve">Bijlage CT: rolkaarten voor het rollenspel — programmadirecteur, architect, observator</w:t>
      </w:r>
    </w:p>
    <w:p>
      <w:pPr>
        <w:pStyle w:val="ListParagraph"/>
        <w:numPr>
          <w:ilvl w:val="0"/>
          <w:numId w:val="2"/>
        </w:numPr>
        <w:spacing w:after="100"/>
      </w:pPr>
      <w:r>
        <w:rPr>
          <w:color w:val="1F2937"/>
          <w:sz w:val="22"/>
          <w:szCs w:val="22"/>
        </w:rPr>
        <w:t xml:space="preserve">Uw certificeringsopdracht in concept</w:t>
      </w:r>
    </w:p>
    <w:p>
      <w:pPr>
        <w:pStyle w:val="Heading1"/>
        <w:pBdr>
          <w:bottom w:val="single" w:color="E5E7EB" w:sz="6" w:space="6"/>
        </w:pBdr>
        <w:spacing w:after="180" w:before="380"/>
      </w:pPr>
      <w:r>
        <w:rPr>
          <w:b/>
          <w:bCs/>
          <w:color w:val="1F3A5F"/>
          <w:sz w:val="30"/>
          <w:szCs w:val="30"/>
        </w:rPr>
        <w:t xml:space="preserve">Opdracht 26.1 — Mandaat, invloed of zwijgen? (individueel, 20 minuten)</w:t>
      </w:r>
    </w:p>
    <w:p>
      <w:pPr>
        <w:spacing w:after="160" w:line="276"/>
      </w:pPr>
      <w:r>
        <w:rPr>
          <w:color w:val="1F2937"/>
          <w:sz w:val="22"/>
          <w:szCs w:val="22"/>
        </w:rPr>
        <w:t xml:space="preserve">Beoordeel per handeling of zij mandaat, invloed of zwijgen is — en of zwijgen hier verdedigbaar is (het antwoord is bijna altijd nee, maar toets het toch).</w:t>
      </w:r>
    </w:p>
    <w:p>
      <w:pPr>
        <w:pStyle w:val="ListParagraph"/>
        <w:numPr>
          <w:ilvl w:val="0"/>
          <w:numId w:val="3"/>
        </w:numPr>
        <w:spacing w:after="120"/>
      </w:pPr>
      <w:r>
        <w:rPr>
          <w:color w:val="1F2937"/>
          <w:sz w:val="22"/>
          <w:szCs w:val="22"/>
        </w:rPr>
        <w:t xml:space="preserve">De architect verschuift zelf het tweede deelmoment met een week.</w:t>
      </w:r>
    </w:p>
    <w:p>
      <w:pPr>
        <w:pStyle w:val="ListParagraph"/>
        <w:numPr>
          <w:ilvl w:val="0"/>
          <w:numId w:val="3"/>
        </w:numPr>
        <w:spacing w:after="120"/>
      </w:pPr>
      <w:r>
        <w:rPr>
          <w:color w:val="1F2937"/>
          <w:sz w:val="22"/>
          <w:szCs w:val="22"/>
        </w:rPr>
        <w:t xml:space="preserve">De architect meldt het capaciteitstekort aan de programmadirecteur, met een advies.</w:t>
      </w:r>
    </w:p>
    <w:p>
      <w:pPr>
        <w:pStyle w:val="ListParagraph"/>
        <w:numPr>
          <w:ilvl w:val="0"/>
          <w:numId w:val="3"/>
        </w:numPr>
        <w:spacing w:after="120"/>
      </w:pPr>
      <w:r>
        <w:rPr>
          <w:color w:val="1F2937"/>
          <w:sz w:val="22"/>
          <w:szCs w:val="22"/>
        </w:rPr>
        <w:t xml:space="preserve">De architect wacht een week om zelf een oplossing te vinden voordat hij het meldt.</w:t>
      </w:r>
    </w:p>
    <w:p>
      <w:pPr>
        <w:pStyle w:val="ListParagraph"/>
        <w:numPr>
          <w:ilvl w:val="0"/>
          <w:numId w:val="3"/>
        </w:numPr>
        <w:spacing w:after="120"/>
      </w:pPr>
      <w:r>
        <w:rPr>
          <w:color w:val="1F2937"/>
          <w:sz w:val="22"/>
          <w:szCs w:val="22"/>
        </w:rPr>
        <w:t xml:space="preserve">De architect meldt het capaciteitstekort niet, omdat de programmadirecteur het "toch al druk heeft".</w:t>
      </w:r>
    </w:p>
    <w:p>
      <w:pPr>
        <w:pStyle w:val="ListParagraph"/>
        <w:numPr>
          <w:ilvl w:val="0"/>
          <w:numId w:val="3"/>
        </w:numPr>
        <w:spacing w:after="120"/>
      </w:pPr>
      <w:r>
        <w:rPr>
          <w:color w:val="1F2937"/>
          <w:sz w:val="22"/>
          <w:szCs w:val="22"/>
        </w:rPr>
        <w:t xml:space="preserve">De architect meldt het, krijgt te horen dat het meevalt, en laat het daarbij.</w:t>
      </w:r>
    </w:p>
    <w:p>
      <w:pPr>
        <w:pStyle w:val="ListParagraph"/>
        <w:numPr>
          <w:ilvl w:val="0"/>
          <w:numId w:val="3"/>
        </w:numPr>
        <w:spacing w:after="120"/>
      </w:pPr>
      <w:r>
        <w:rPr>
          <w:color w:val="1F2937"/>
          <w:sz w:val="22"/>
          <w:szCs w:val="22"/>
        </w:rPr>
        <w:t xml:space="preserve">De architect meldt het, krijgt te horen dat het meevalt, en meldt het opnieuw twee weken later wanneer de achterstand is opgelopen.</w:t>
      </w:r>
    </w:p>
    <w:p>
      <w:pPr>
        <w:spacing w:after="160" w:line="276"/>
      </w:pPr>
      <w:r>
        <w:rPr>
          <w:i/>
          <w:iCs/>
          <w:color w:val="1F2937"/>
          <w:sz w:val="22"/>
          <w:szCs w:val="22"/>
        </w:rPr>
        <w:t xml:space="preserve">Vervolgvraag: welke van de zes komt het vaakst voor in de praktijk, volgens uw eigen ervaring?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26.1</w:t>
            </w:r>
          </w:p>
          <w:p>
            <w:pPr>
              <w:spacing w:after="80"/>
            </w:pPr>
          </w:p>
          <w:tbl>
            <w:tblPr>
              <w:tblW w:type="dxa" w:w="91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5300"/>
              <w:gridCol w:w="3100"/>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w:t>
                  </w:r>
                </w:p>
              </w:tc>
              <w:tc>
                <w:tcPr>
                  <w:tcW w:type="dxa" w:w="5300"/>
                  <w:shd w:fill="1F3A5F" w:val="clear"/>
                  <w:tcMar>
                    <w:top w:type="dxa" w:w="100"/>
                    <w:left w:type="dxa" w:w="120"/>
                    <w:bottom w:type="dxa" w:w="100"/>
                    <w:right w:type="dxa" w:w="120"/>
                  </w:tcMar>
                  <w:vAlign w:val="center"/>
                </w:tcPr>
                <w:p>
                  <w:r>
                    <w:rPr>
                      <w:b/>
                      <w:bCs/>
                      <w:color w:val="FFFFFF"/>
                      <w:sz w:val="19"/>
                      <w:szCs w:val="19"/>
                    </w:rPr>
                    <w:t xml:space="preserve">Positie</w:t>
                  </w:r>
                </w:p>
              </w:tc>
              <w:tc>
                <w:tcPr>
                  <w:tcW w:type="dxa" w:w="3100"/>
                  <w:shd w:fill="1F3A5F" w:val="clear"/>
                  <w:tcMar>
                    <w:top w:type="dxa" w:w="100"/>
                    <w:left w:type="dxa" w:w="120"/>
                    <w:bottom w:type="dxa" w:w="100"/>
                    <w:right w:type="dxa" w:w="120"/>
                  </w:tcMar>
                  <w:vAlign w:val="center"/>
                </w:tcPr>
                <w:p>
                  <w:r>
                    <w:rPr>
                      <w:b/>
                      <w:bCs/>
                      <w:color w:val="FFFFFF"/>
                      <w:sz w:val="19"/>
                      <w:szCs w:val="19"/>
                    </w:rPr>
                    <w:t xml:space="preserve">Verdedigbaar?</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1</w:t>
                  </w:r>
                </w:p>
              </w:tc>
              <w:tc>
                <w:tcPr>
                  <w:tcW w:type="dxa" w:w="5300"/>
                  <w:tcMar>
                    <w:top w:type="dxa" w:w="100"/>
                    <w:left w:type="dxa" w:w="120"/>
                    <w:bottom w:type="dxa" w:w="100"/>
                    <w:right w:type="dxa" w:w="120"/>
                  </w:tcMar>
                  <w:vAlign w:val="center"/>
                </w:tcPr>
                <w:p>
                  <w:r>
                    <w:rPr>
                      <w:b w:val="false"/>
                      <w:bCs w:val="false"/>
                      <w:color w:val="1F2937"/>
                      <w:sz w:val="19"/>
                      <w:szCs w:val="19"/>
                    </w:rPr>
                    <w:t xml:space="preserve">Mandaat aangenomen dat er niet is</w:t>
                  </w:r>
                </w:p>
              </w:tc>
              <w:tc>
                <w:tcPr>
                  <w:tcW w:type="dxa" w:w="3100"/>
                  <w:tcMar>
                    <w:top w:type="dxa" w:w="100"/>
                    <w:left w:type="dxa" w:w="120"/>
                    <w:bottom w:type="dxa" w:w="100"/>
                    <w:right w:type="dxa" w:w="120"/>
                  </w:tcMar>
                  <w:vAlign w:val="center"/>
                </w:tcPr>
                <w:p>
                  <w:r>
                    <w:rPr>
                      <w:b w:val="false"/>
                      <w:bCs w:val="false"/>
                      <w:color w:val="1F2937"/>
                      <w:sz w:val="19"/>
                      <w:szCs w:val="19"/>
                    </w:rPr>
                    <w:t xml:space="preserve">Nee — de architect heeft dit mandaat niet</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2</w:t>
                  </w:r>
                </w:p>
              </w:tc>
              <w:tc>
                <w:tcPr>
                  <w:tcW w:type="dxa" w:w="5300"/>
                  <w:tcMar>
                    <w:top w:type="dxa" w:w="100"/>
                    <w:left w:type="dxa" w:w="120"/>
                    <w:bottom w:type="dxa" w:w="100"/>
                    <w:right w:type="dxa" w:w="120"/>
                  </w:tcMar>
                  <w:vAlign w:val="center"/>
                </w:tcPr>
                <w:p>
                  <w:r>
                    <w:rPr>
                      <w:b w:val="false"/>
                      <w:bCs w:val="false"/>
                      <w:color w:val="1F2937"/>
                      <w:sz w:val="19"/>
                      <w:szCs w:val="19"/>
                    </w:rPr>
                    <w:t xml:space="preserve">Invloed</w:t>
                  </w:r>
                </w:p>
              </w:tc>
              <w:tc>
                <w:tcPr>
                  <w:tcW w:type="dxa" w:w="3100"/>
                  <w:tcMar>
                    <w:top w:type="dxa" w:w="100"/>
                    <w:left w:type="dxa" w:w="120"/>
                    <w:bottom w:type="dxa" w:w="100"/>
                    <w:right w:type="dxa" w:w="120"/>
                  </w:tcMar>
                  <w:vAlign w:val="center"/>
                </w:tcPr>
                <w:p>
                  <w:r>
                    <w:rPr>
                      <w:b w:val="false"/>
                      <w:bCs w:val="false"/>
                      <w:color w:val="1F2937"/>
                      <w:sz w:val="19"/>
                      <w:szCs w:val="19"/>
                    </w:rPr>
                    <w:t xml:space="preserve">Ja, dit is de standaardroute</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3</w:t>
                  </w:r>
                </w:p>
              </w:tc>
              <w:tc>
                <w:tcPr>
                  <w:tcW w:type="dxa" w:w="5300"/>
                  <w:tcMar>
                    <w:top w:type="dxa" w:w="100"/>
                    <w:left w:type="dxa" w:w="120"/>
                    <w:bottom w:type="dxa" w:w="100"/>
                    <w:right w:type="dxa" w:w="120"/>
                  </w:tcMar>
                  <w:vAlign w:val="center"/>
                </w:tcPr>
                <w:p>
                  <w:r>
                    <w:rPr>
                      <w:b w:val="false"/>
                      <w:bCs w:val="false"/>
                      <w:color w:val="1F2937"/>
                      <w:sz w:val="19"/>
                      <w:szCs w:val="19"/>
                    </w:rPr>
                    <w:t xml:space="preserve">Uitstel van invloed</w:t>
                  </w:r>
                </w:p>
              </w:tc>
              <w:tc>
                <w:tcPr>
                  <w:tcW w:type="dxa" w:w="3100"/>
                  <w:tcMar>
                    <w:top w:type="dxa" w:w="100"/>
                    <w:left w:type="dxa" w:w="120"/>
                    <w:bottom w:type="dxa" w:w="100"/>
                    <w:right w:type="dxa" w:w="120"/>
                  </w:tcMar>
                  <w:vAlign w:val="center"/>
                </w:tcPr>
                <w:p>
                  <w:r>
                    <w:rPr>
                      <w:b w:val="false"/>
                      <w:bCs w:val="false"/>
                      <w:color w:val="1F2937"/>
                      <w:sz w:val="19"/>
                      <w:szCs w:val="19"/>
                    </w:rPr>
                    <w:t xml:space="preserve">Twijfelachtig — zie de valkuil in 26.2</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4</w:t>
                  </w:r>
                </w:p>
              </w:tc>
              <w:tc>
                <w:tcPr>
                  <w:tcW w:type="dxa" w:w="5300"/>
                  <w:tcMar>
                    <w:top w:type="dxa" w:w="100"/>
                    <w:left w:type="dxa" w:w="120"/>
                    <w:bottom w:type="dxa" w:w="100"/>
                    <w:right w:type="dxa" w:w="120"/>
                  </w:tcMar>
                  <w:vAlign w:val="center"/>
                </w:tcPr>
                <w:p>
                  <w:r>
                    <w:rPr>
                      <w:b w:val="false"/>
                      <w:bCs w:val="false"/>
                      <w:color w:val="1F2937"/>
                      <w:sz w:val="19"/>
                      <w:szCs w:val="19"/>
                    </w:rPr>
                    <w:t xml:space="preserve">Zwijgen</w:t>
                  </w:r>
                </w:p>
              </w:tc>
              <w:tc>
                <w:tcPr>
                  <w:tcW w:type="dxa" w:w="3100"/>
                  <w:tcMar>
                    <w:top w:type="dxa" w:w="100"/>
                    <w:left w:type="dxa" w:w="120"/>
                    <w:bottom w:type="dxa" w:w="100"/>
                    <w:right w:type="dxa" w:w="120"/>
                  </w:tcMar>
                  <w:vAlign w:val="center"/>
                </w:tcPr>
                <w:p>
                  <w:r>
                    <w:rPr>
                      <w:b w:val="false"/>
                      <w:bCs w:val="false"/>
                      <w:color w:val="1F2937"/>
                      <w:sz w:val="19"/>
                      <w:szCs w:val="19"/>
                    </w:rPr>
                    <w:t xml:space="preserve">Nee, nooit</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5</w:t>
                  </w:r>
                </w:p>
              </w:tc>
              <w:tc>
                <w:tcPr>
                  <w:tcW w:type="dxa" w:w="5300"/>
                  <w:tcMar>
                    <w:top w:type="dxa" w:w="100"/>
                    <w:left w:type="dxa" w:w="120"/>
                    <w:bottom w:type="dxa" w:w="100"/>
                    <w:right w:type="dxa" w:w="120"/>
                  </w:tcMar>
                  <w:vAlign w:val="center"/>
                </w:tcPr>
                <w:p>
                  <w:r>
                    <w:rPr>
                      <w:b w:val="false"/>
                      <w:bCs w:val="false"/>
                      <w:color w:val="1F2937"/>
                      <w:sz w:val="19"/>
                      <w:szCs w:val="19"/>
                    </w:rPr>
                    <w:t xml:space="preserve">Invloed, eenmalig</w:t>
                  </w:r>
                </w:p>
              </w:tc>
              <w:tc>
                <w:tcPr>
                  <w:tcW w:type="dxa" w:w="3100"/>
                  <w:tcMar>
                    <w:top w:type="dxa" w:w="100"/>
                    <w:left w:type="dxa" w:w="120"/>
                    <w:bottom w:type="dxa" w:w="100"/>
                    <w:right w:type="dxa" w:w="120"/>
                  </w:tcMar>
                  <w:vAlign w:val="center"/>
                </w:tcPr>
                <w:p>
                  <w:r>
                    <w:rPr>
                      <w:b w:val="false"/>
                      <w:bCs w:val="false"/>
                      <w:color w:val="1F2937"/>
                      <w:sz w:val="19"/>
                      <w:szCs w:val="19"/>
                    </w:rPr>
                    <w:t xml:space="preserve">Onvolledig — geen vastlegging, geen herhaling bij verslechtering</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6</w:t>
                  </w:r>
                </w:p>
              </w:tc>
              <w:tc>
                <w:tcPr>
                  <w:tcW w:type="dxa" w:w="5300"/>
                  <w:tcMar>
                    <w:top w:type="dxa" w:w="100"/>
                    <w:left w:type="dxa" w:w="120"/>
                    <w:bottom w:type="dxa" w:w="100"/>
                    <w:right w:type="dxa" w:w="120"/>
                  </w:tcMar>
                  <w:vAlign w:val="center"/>
                </w:tcPr>
                <w:p>
                  <w:r>
                    <w:rPr>
                      <w:b w:val="false"/>
                      <w:bCs w:val="false"/>
                      <w:color w:val="1F2937"/>
                      <w:sz w:val="19"/>
                      <w:szCs w:val="19"/>
                    </w:rPr>
                    <w:t xml:space="preserve">Invloed, herhaald op nieuw feit</w:t>
                  </w:r>
                </w:p>
              </w:tc>
              <w:tc>
                <w:tcPr>
                  <w:tcW w:type="dxa" w:w="3100"/>
                  <w:tcMar>
                    <w:top w:type="dxa" w:w="100"/>
                    <w:left w:type="dxa" w:w="120"/>
                    <w:bottom w:type="dxa" w:w="100"/>
                    <w:right w:type="dxa" w:w="120"/>
                  </w:tcMar>
                  <w:vAlign w:val="center"/>
                </w:tcPr>
                <w:p>
                  <w:r>
                    <w:rPr>
                      <w:b w:val="false"/>
                      <w:bCs w:val="false"/>
                      <w:color w:val="1F2937"/>
                      <w:sz w:val="19"/>
                      <w:szCs w:val="19"/>
                    </w:rPr>
                    <w:t xml:space="preserve">Ja, dit is de sterke vorm</w:t>
                  </w:r>
                </w:p>
              </w:tc>
            </w:tr>
          </w:tbl>
          <w:p>
            <w:pPr>
              <w:spacing w:after="100"/>
            </w:pPr>
          </w:p>
          <w:p>
            <w:pPr>
              <w:spacing w:after="120" w:line="276"/>
            </w:pPr>
            <w:r>
              <w:rPr>
                <w:b/>
                <w:bCs/>
                <w:color w:val="1F2937"/>
                <w:sz w:val="21"/>
                <w:szCs w:val="21"/>
              </w:rPr>
              <w:t xml:space="preserve">Geval 3 verdient bespreking.</w:t>
            </w:r>
            <w:r>
              <w:rPr>
                <w:color w:val="1F2937"/>
                <w:sz w:val="21"/>
                <w:szCs w:val="21"/>
              </w:rPr>
              <w:t xml:space="preserve"> Het is geen zwijgen, en het is ook niet zuiver invloed uitoefenen — het is uitstel met een goede intentie. De reader noemt dit expliciet als valkuil: bij een deadline die niet verschuift, kost elke dag zoeken een dag reactietijd bij anderen. Een week wachten om zelf te proberen het op te lossen, is in de praktijk vaak een vermijding van het ongemakkelijke gesprek, ook als het zich voordoet als zorgvuldigheid.</w:t>
            </w:r>
          </w:p>
          <w:p>
            <w:pPr>
              <w:spacing w:after="120" w:line="276"/>
            </w:pPr>
            <w:r>
              <w:rPr>
                <w:b/>
                <w:bCs/>
                <w:color w:val="1F2937"/>
                <w:sz w:val="21"/>
                <w:szCs w:val="21"/>
              </w:rPr>
              <w:t xml:space="preserve">Het verschil tussen 5 en 6 is de kern van de opdracht.</w:t>
            </w:r>
            <w:r>
              <w:rPr>
                <w:color w:val="1F2937"/>
                <w:sz w:val="21"/>
                <w:szCs w:val="21"/>
              </w:rPr>
              <w:t xml:space="preserve"> Beide beginnen hetzelfde; het verschil is wat er gebeurt als de eerste melding niet wordt opgepakt. Geval 6 is de vorm die de reader aanbeveelt: opnieuw melden bij een nieuw feit is geen herhaling.</w:t>
            </w:r>
          </w:p>
          <w:p>
            <w:pPr>
              <w:spacing w:after="120" w:line="276"/>
            </w:pPr>
            <w:r>
              <w:rPr>
                <w:b/>
                <w:bCs/>
                <w:color w:val="1F2937"/>
                <w:sz w:val="21"/>
                <w:szCs w:val="21"/>
              </w:rPr>
              <w:t xml:space="preserve">Vervolgvraag.</w:t>
            </w:r>
            <w:r>
              <w:rPr>
                <w:color w:val="1F2937"/>
                <w:sz w:val="21"/>
                <w:szCs w:val="21"/>
              </w:rPr>
              <w:t xml:space="preserve"> In de praktijk komt geval 3 het vaakst voor, gevolgd door geval 5. Zwijgen (4) is zeldzamer dan gedacht — de meeste mensen zwijgen niet volledig, zij stellen uit of melden eenmalig en te zacht.</w:t>
            </w:r>
          </w:p>
        </w:tc>
      </w:tr>
    </w:tbl>
    <w:p>
      <w:pPr>
        <w:spacing w:after="300"/>
      </w:pPr>
    </w:p>
    <w:p>
      <w:pPr>
        <w:pStyle w:val="Heading1"/>
        <w:pBdr>
          <w:bottom w:val="single" w:color="E5E7EB" w:sz="6" w:space="6"/>
        </w:pBdr>
        <w:spacing w:after="180" w:before="380"/>
      </w:pPr>
      <w:r>
        <w:rPr>
          <w:b/>
          <w:bCs/>
          <w:color w:val="1F3A5F"/>
          <w:sz w:val="30"/>
          <w:szCs w:val="30"/>
        </w:rPr>
        <w:t xml:space="preserve">Opdracht 26.2 — De verzonken kosten herkennen (duo's, 25 minuten)</w:t>
      </w:r>
    </w:p>
    <w:p>
      <w:pPr>
        <w:spacing w:after="160" w:line="276"/>
      </w:pPr>
      <w:r>
        <w:rPr>
          <w:color w:val="1F2937"/>
          <w:sz w:val="22"/>
          <w:szCs w:val="22"/>
        </w:rPr>
        <w:t xml:space="preserve">Bijlage CQ bevat het capaciteitsverslag.</w:t>
      </w:r>
    </w:p>
    <w:p>
      <w:pPr>
        <w:pStyle w:val="ListParagraph"/>
        <w:numPr>
          <w:ilvl w:val="0"/>
          <w:numId w:val="2"/>
        </w:numPr>
        <w:spacing w:after="100"/>
      </w:pPr>
      <w:r>
        <w:rPr>
          <w:b/>
          <w:bCs/>
          <w:color w:val="1F2937"/>
          <w:sz w:val="22"/>
          <w:szCs w:val="22"/>
        </w:rPr>
        <w:t xml:space="preserve">a)</w:t>
      </w:r>
      <w:r>
        <w:rPr>
          <w:color w:val="1F2937"/>
          <w:sz w:val="22"/>
          <w:szCs w:val="22"/>
        </w:rPr>
        <w:t xml:space="preserve"> Bereken: hoeveel dossiers kunnen op het huidige tempo vóór het tweede deelmoment worden nagelopen? Vergelijk met de 1.440 die nodig zijn.</w:t>
      </w:r>
    </w:p>
    <w:p>
      <w:pPr>
        <w:pStyle w:val="ListParagraph"/>
        <w:numPr>
          <w:ilvl w:val="0"/>
          <w:numId w:val="2"/>
        </w:numPr>
        <w:spacing w:after="100"/>
      </w:pPr>
      <w:r>
        <w:rPr>
          <w:b/>
          <w:bCs/>
          <w:color w:val="1F2937"/>
          <w:sz w:val="22"/>
          <w:szCs w:val="22"/>
        </w:rPr>
        <w:t xml:space="preserve">b)</w:t>
      </w:r>
      <w:r>
        <w:rPr>
          <w:color w:val="1F2937"/>
          <w:sz w:val="22"/>
          <w:szCs w:val="22"/>
        </w:rPr>
        <w:t xml:space="preserve"> Formuleer het argument dat "wij moeten doorgaan zoals gepland" zou gebruiken. Waar zit de verzonken kost in dat argument?</w:t>
      </w:r>
    </w:p>
    <w:p>
      <w:pPr>
        <w:pStyle w:val="ListParagraph"/>
        <w:numPr>
          <w:ilvl w:val="0"/>
          <w:numId w:val="2"/>
        </w:numPr>
        <w:spacing w:after="100"/>
      </w:pPr>
      <w:r>
        <w:rPr>
          <w:b/>
          <w:bCs/>
          <w:color w:val="1F2937"/>
          <w:sz w:val="22"/>
          <w:szCs w:val="22"/>
        </w:rPr>
        <w:t xml:space="preserve">c)</w:t>
      </w:r>
      <w:r>
        <w:rPr>
          <w:color w:val="1F2937"/>
          <w:sz w:val="22"/>
          <w:szCs w:val="22"/>
        </w:rPr>
        <w:t xml:space="preserve"> Formuleer het argument dat wél naar de toekomst kijkt: wat levert doorgaan op het huidige tempo vanaf nu op, vergeleken met de alternatieven uit deel 25?</w:t>
      </w:r>
    </w:p>
    <w:p>
      <w:pPr>
        <w:pStyle w:val="ListParagraph"/>
        <w:numPr>
          <w:ilvl w:val="0"/>
          <w:numId w:val="2"/>
        </w:numPr>
        <w:spacing w:after="100"/>
      </w:pPr>
      <w:r>
        <w:rPr>
          <w:b/>
          <w:bCs/>
          <w:color w:val="1F2937"/>
          <w:sz w:val="22"/>
          <w:szCs w:val="22"/>
        </w:rPr>
        <w:t xml:space="preserve">d)</w:t>
      </w:r>
      <w:r>
        <w:rPr>
          <w:color w:val="1F2937"/>
          <w:sz w:val="22"/>
          <w:szCs w:val="22"/>
        </w:rPr>
        <w:t xml:space="preserve"> Is dit een stopvraag of een aanpassingsvraag? Wat is het verschil voor uw advies?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26.2</w:t>
            </w:r>
          </w:p>
          <w:p>
            <w:pPr>
              <w:spacing w:after="80"/>
            </w:pPr>
          </w:p>
          <w:p>
            <w:pPr>
              <w:spacing w:after="120" w:line="276"/>
            </w:pPr>
            <w:r>
              <w:rPr>
                <w:b/>
                <w:bCs/>
                <w:color w:val="1F2937"/>
                <w:sz w:val="21"/>
                <w:szCs w:val="21"/>
              </w:rPr>
              <w:t xml:space="preserve">a)</w:t>
            </w:r>
            <w:r>
              <w:rPr>
                <w:color w:val="1F2937"/>
                <w:sz w:val="21"/>
                <w:szCs w:val="21"/>
              </w:rPr>
              <w:t xml:space="preserve"> Bij het gemeten tempo uit bijlage CQ (twee van de zes geplande weken beschikbaar) is ruwweg een derde van het naloopwerk haalbaar vóór het tweede deelmoment — ongeveer 480 van de 1.440 dossiers.</w:t>
            </w:r>
          </w:p>
          <w:p>
            <w:pPr>
              <w:spacing w:after="120" w:line="276"/>
            </w:pPr>
            <w:r>
              <w:rPr>
                <w:b/>
                <w:bCs/>
                <w:color w:val="1F2937"/>
                <w:sz w:val="21"/>
                <w:szCs w:val="21"/>
              </w:rPr>
              <w:t xml:space="preserve">b) Het verzonken-kostenargument: </w:t>
            </w:r>
            <w:r>
              <w:rPr>
                <w:color w:val="1F2937"/>
                <w:sz w:val="21"/>
                <w:szCs w:val="21"/>
              </w:rPr>
              <w:t xml:space="preserve">"we hebben dit als planning afgesproken, de stuurgroep heeft ermee ingestemd, we kunnen nu niet ineens zeggen dat het niet gaat." De verzonken kost zit in "de stuurgroep heeft ermee ingestemd" — dat is een feit over het verleden dat niets zegt over wat vanaf nu de beste keuze is.</w:t>
            </w:r>
          </w:p>
          <w:p>
            <w:pPr>
              <w:spacing w:after="120" w:line="276"/>
            </w:pPr>
            <w:r>
              <w:rPr>
                <w:b/>
                <w:bCs/>
                <w:color w:val="1F2937"/>
                <w:sz w:val="21"/>
                <w:szCs w:val="21"/>
              </w:rPr>
              <w:t xml:space="preserve">c) Het toekomstgerichte argument: </w:t>
            </w:r>
            <w:r>
              <w:rPr>
                <w:color w:val="1F2937"/>
                <w:sz w:val="21"/>
                <w:szCs w:val="21"/>
              </w:rPr>
              <w:t xml:space="preserve">"op het huidige tempo halen wij 480 van de 1.440 dossiers. Doorgaan zoals gepland levert dus een gedeeltelijk resultaat op zonder dat wij dat als zodanig hebben besloten. De deelverzameling-aanpak uit deel 25 levert bewust en verantwoord hetzelfde soort uitkomst op, met een gemelde restgroep in plaats van een onopgemerkt tekort."</w:t>
            </w:r>
          </w:p>
          <w:p>
            <w:pPr>
              <w:spacing w:after="120" w:line="276"/>
            </w:pPr>
            <w:r>
              <w:rPr>
                <w:i/>
                <w:iCs/>
                <w:color w:val="1F2937"/>
                <w:sz w:val="21"/>
                <w:szCs w:val="21"/>
              </w:rPr>
              <w:t xml:space="preserve">Dat is de kern van het verschil: niet doorgaan-of-stoppen, maar bewust kiezen wat er nu al impliciet gebeurt — een gedeeltelijk resultaat — in plaats van het te laten overkomen als vertraging.</w:t>
            </w:r>
          </w:p>
          <w:p>
            <w:pPr>
              <w:spacing w:after="120" w:line="276"/>
            </w:pPr>
            <w:r>
              <w:rPr>
                <w:b/>
                <w:bCs/>
                <w:color w:val="1F2937"/>
                <w:sz w:val="21"/>
                <w:szCs w:val="21"/>
              </w:rPr>
              <w:t xml:space="preserve">d)</w:t>
            </w:r>
            <w:r>
              <w:rPr>
                <w:color w:val="1F2937"/>
                <w:sz w:val="21"/>
                <w:szCs w:val="21"/>
              </w:rPr>
              <w:t xml:space="preserve"> Dit is eerder een aanpassingsvraag dan een stopvraag: het naloopwerk zelf hoeft niet te stoppen, de aanpak wel. Dat onderscheid is belangrijk voor de toon van het advies — "wij passen de aanpak aan" landt anders dan "wij stoppen ermee", ook als de kern van de boodschap gelijk is.</w:t>
            </w:r>
          </w:p>
        </w:tc>
      </w:tr>
    </w:tbl>
    <w:p>
      <w:pPr>
        <w:spacing w:after="300"/>
      </w:pPr>
    </w:p>
    <w:p>
      <w:pPr>
        <w:pStyle w:val="Heading1"/>
        <w:pBdr>
          <w:bottom w:val="single" w:color="E5E7EB" w:sz="6" w:space="6"/>
        </w:pBdr>
        <w:spacing w:after="180" w:before="380"/>
      </w:pPr>
      <w:r>
        <w:rPr>
          <w:b/>
          <w:bCs/>
          <w:color w:val="1F3A5F"/>
          <w:sz w:val="30"/>
          <w:szCs w:val="30"/>
        </w:rPr>
        <w:t xml:space="preserve">Opdracht 26.3 — Het stopadvies opbouwen (groepen van vier, 35 minuten)</w:t>
      </w:r>
    </w:p>
    <w:p>
      <w:pPr>
        <w:spacing w:after="160" w:line="276"/>
      </w:pPr>
      <w:r>
        <w:rPr>
          <w:color w:val="1F2937"/>
          <w:sz w:val="22"/>
          <w:szCs w:val="22"/>
        </w:rPr>
        <w:t xml:space="preserve">Bouw het advies in de vier onderdelen uit paragraaf 26.4.</w:t>
      </w:r>
    </w:p>
    <w:p>
      <w:pPr>
        <w:pStyle w:val="ListParagraph"/>
        <w:numPr>
          <w:ilvl w:val="0"/>
          <w:numId w:val="2"/>
        </w:numPr>
        <w:spacing w:after="100"/>
      </w:pPr>
      <w:r>
        <w:rPr>
          <w:b/>
          <w:bCs/>
          <w:color w:val="1F2937"/>
          <w:sz w:val="22"/>
          <w:szCs w:val="22"/>
        </w:rPr>
        <w:t xml:space="preserve">a) De erkende bijdrage.</w:t>
      </w:r>
      <w:r>
        <w:rPr>
          <w:color w:val="1F2937"/>
          <w:sz w:val="22"/>
          <w:szCs w:val="22"/>
        </w:rPr>
        <w:t xml:space="preserve"> Wat heeft het naloopwerk tot nu toe opgeleverd? Wees concreet met de 1.440.</w:t>
      </w:r>
    </w:p>
    <w:p>
      <w:pPr>
        <w:pStyle w:val="ListParagraph"/>
        <w:numPr>
          <w:ilvl w:val="0"/>
          <w:numId w:val="2"/>
        </w:numPr>
        <w:spacing w:after="100"/>
      </w:pPr>
      <w:r>
        <w:rPr>
          <w:b/>
          <w:bCs/>
          <w:color w:val="1F2937"/>
          <w:sz w:val="22"/>
          <w:szCs w:val="22"/>
        </w:rPr>
        <w:t xml:space="preserve">b) De relatieve afweging.</w:t>
      </w:r>
      <w:r>
        <w:rPr>
          <w:color w:val="1F2937"/>
          <w:sz w:val="22"/>
          <w:szCs w:val="22"/>
        </w:rPr>
        <w:t xml:space="preserve"> Vergelijk doorgaan op het huidige tempo met minstens twee alternatieven uit deel 25.</w:t>
      </w:r>
    </w:p>
    <w:p>
      <w:pPr>
        <w:pStyle w:val="ListParagraph"/>
        <w:numPr>
          <w:ilvl w:val="0"/>
          <w:numId w:val="2"/>
        </w:numPr>
        <w:spacing w:after="100"/>
      </w:pPr>
      <w:r>
        <w:rPr>
          <w:b/>
          <w:bCs/>
          <w:color w:val="1F2937"/>
          <w:sz w:val="22"/>
          <w:szCs w:val="22"/>
        </w:rPr>
        <w:t xml:space="preserve">c) Het lot van het werk.</w:t>
      </w:r>
      <w:r>
        <w:rPr>
          <w:color w:val="1F2937"/>
          <w:sz w:val="22"/>
          <w:szCs w:val="22"/>
        </w:rPr>
        <w:t xml:space="preserve"> Wat blijft er staan bij elk alternatief, en wat gaat verloren?</w:t>
      </w:r>
    </w:p>
    <w:p>
      <w:pPr>
        <w:pStyle w:val="ListParagraph"/>
        <w:numPr>
          <w:ilvl w:val="0"/>
          <w:numId w:val="2"/>
        </w:numPr>
        <w:spacing w:after="100"/>
      </w:pPr>
      <w:r>
        <w:rPr>
          <w:b/>
          <w:bCs/>
          <w:color w:val="1F2937"/>
          <w:sz w:val="22"/>
          <w:szCs w:val="22"/>
        </w:rPr>
        <w:t xml:space="preserve">d) Het besluit bij de opdrachtgever.</w:t>
      </w:r>
      <w:r>
        <w:rPr>
          <w:color w:val="1F2937"/>
          <w:sz w:val="22"/>
          <w:szCs w:val="22"/>
        </w:rPr>
        <w:t xml:space="preserve"> Formuleer de vraag die u aan de programmadirecteur teruglegt.</w:t>
      </w:r>
    </w:p>
    <w:p>
      <w:pPr>
        <w:pStyle w:val="ListParagraph"/>
        <w:numPr>
          <w:ilvl w:val="0"/>
          <w:numId w:val="2"/>
        </w:numPr>
        <w:spacing w:after="100"/>
      </w:pPr>
      <w:r>
        <w:rPr>
          <w:b/>
          <w:bCs/>
          <w:color w:val="1F2937"/>
          <w:sz w:val="22"/>
          <w:szCs w:val="22"/>
        </w:rPr>
        <w:t xml:space="preserve">e)</w:t>
      </w:r>
      <w:r>
        <w:rPr>
          <w:color w:val="1F2937"/>
          <w:sz w:val="22"/>
          <w:szCs w:val="22"/>
        </w:rPr>
        <w:t xml:space="preserve"> Schrijf het advies nu in twee versies: één die met de conclusie begint, één die de vier onderdelen in volgorde volgt. Laat een ander in de groep beide lezen. Welke wordt beter ontvangen, en waarom?</w:t>
      </w:r>
    </w:p>
    <w:p>
      <w:pPr>
        <w:spacing w:after="160" w:line="276"/>
      </w:pPr>
      <w:r>
        <w:rPr>
          <w:i/>
          <w:iCs/>
          <w:color w:val="1F2937"/>
          <w:sz w:val="22"/>
          <w:szCs w:val="22"/>
        </w:rPr>
        <w:t xml:space="preserve">Onderdeel e) maakt het verschil voelbaar in plaats van alleen uit te leggen.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26.3</w:t>
            </w:r>
          </w:p>
          <w:p>
            <w:pPr>
              <w:spacing w:after="80"/>
            </w:pPr>
          </w:p>
          <w:p>
            <w:pPr>
              <w:spacing w:after="120" w:line="276"/>
            </w:pPr>
            <w:r>
              <w:rPr>
                <w:color w:val="1F2937"/>
                <w:sz w:val="21"/>
                <w:szCs w:val="21"/>
              </w:rPr>
              <w:t xml:space="preserve">Geen modelantwoord voor a-d; beoordeling bij e).</w:t>
            </w:r>
          </w:p>
          <w:p>
            <w:pPr>
              <w:spacing w:after="120" w:line="276"/>
            </w:pPr>
            <w:r>
              <w:rPr>
                <w:b/>
                <w:bCs/>
                <w:color w:val="1F2937"/>
                <w:sz w:val="21"/>
                <w:szCs w:val="21"/>
              </w:rPr>
              <w:t xml:space="preserve">a)</w:t>
            </w:r>
            <w:r>
              <w:rPr>
                <w:color w:val="1F2937"/>
                <w:sz w:val="21"/>
                <w:szCs w:val="21"/>
              </w:rPr>
              <w:t xml:space="preserve"> Een sterke erkende bijdrage benoemt concreet wat is opgeleverd: van 340 dossiers is de juiste ingangsdatum nu bekend; van de overige 1.100 is vastgesteld welk gegeven ontbreekt en bij welke categorie mutaties dat een probleem wordt.</w:t>
            </w:r>
          </w:p>
          <w:p>
            <w:pPr>
              <w:spacing w:after="120" w:line="276"/>
            </w:pPr>
            <w:r>
              <w:rPr>
                <w:b/>
                <w:bCs/>
                <w:color w:val="1F2937"/>
                <w:sz w:val="21"/>
                <w:szCs w:val="21"/>
              </w:rPr>
              <w:t xml:space="preserve">b) De relatieve afweging</w:t>
            </w:r>
            <w:r>
              <w:rPr>
                <w:color w:val="1F2937"/>
                <w:sz w:val="21"/>
                <w:szCs w:val="21"/>
              </w:rPr>
              <w:t xml:space="preserve"> moet minstens twee alternatieven noemen met concrete cijfers, niet alleen kwalitatief ("het zou beter gaan met een andere aanpak").</w:t>
            </w:r>
          </w:p>
          <w:p>
            <w:pPr>
              <w:spacing w:after="100"/>
            </w:pPr>
          </w:p>
          <w:p>
            <w:pPr>
              <w:spacing w:after="120" w:line="276"/>
            </w:pPr>
            <w:r>
              <w:rPr>
                <w:b/>
                <w:bCs/>
                <w:color w:val="1F2937"/>
                <w:sz w:val="21"/>
                <w:szCs w:val="21"/>
              </w:rPr>
              <w:t xml:space="preserve">e) Het verschil tussen de twee versies is de kern van de opdracht.</w:t>
            </w:r>
            <w:r>
              <w:rPr>
                <w:color w:val="1F2937"/>
                <w:sz w:val="21"/>
                <w:szCs w:val="21"/>
              </w:rPr>
              <w:t xml:space="preserve"> De conclusie-eerst versie wordt in vrijwel elke groep als harder en minder welkom ervaren, ook door de groepsleden zelf bij het hardop voorlezen. Dat is geen toeval en het is de reden dat de volgorde in paragraaf 26.4 vastligt: zonder de erkende bijdrage eerst, hoort de ontvanger een ontkenning van het gedane werk in plaats van een analyse.</w:t>
            </w:r>
          </w:p>
          <w:p>
            <w:pPr>
              <w:spacing w:after="120" w:line="276"/>
            </w:pPr>
            <w:r>
              <w:rPr>
                <w:color w:val="1F2937"/>
                <w:sz w:val="21"/>
                <w:szCs w:val="21"/>
              </w:rPr>
              <w:t xml:space="preserve">Groepen die dit zelf ervaren door de twee versies hardop te vergelijken, onthouden de les beter dan door haar uitgelegd te krijgen.</w:t>
            </w:r>
          </w:p>
        </w:tc>
      </w:tr>
    </w:tbl>
    <w:p>
      <w:pPr>
        <w:spacing w:after="300"/>
      </w:pPr>
    </w:p>
    <w:p>
      <w:pPr>
        <w:pStyle w:val="Heading1"/>
        <w:pBdr>
          <w:bottom w:val="single" w:color="E5E7EB" w:sz="6" w:space="6"/>
        </w:pBdr>
        <w:spacing w:after="180" w:before="380"/>
      </w:pPr>
      <w:r>
        <w:rPr>
          <w:b/>
          <w:bCs/>
          <w:color w:val="1F3A5F"/>
          <w:sz w:val="30"/>
          <w:szCs w:val="30"/>
        </w:rPr>
        <w:t xml:space="preserve">Opdracht 26.4 — Legitiem of misleidend? (individueel, 20 minuten)</w:t>
      </w:r>
    </w:p>
    <w:p>
      <w:pPr>
        <w:spacing w:after="160" w:line="276"/>
      </w:pPr>
      <w:r>
        <w:rPr>
          <w:color w:val="1F2937"/>
          <w:sz w:val="22"/>
          <w:szCs w:val="22"/>
        </w:rPr>
        <w:t xml:space="preserve">Bijlage CR bevat de drie eerdere rapportages.</w:t>
      </w:r>
    </w:p>
    <w:p>
      <w:pPr>
        <w:pStyle w:val="ListParagraph"/>
        <w:numPr>
          <w:ilvl w:val="0"/>
          <w:numId w:val="2"/>
        </w:numPr>
        <w:spacing w:after="100"/>
      </w:pPr>
      <w:r>
        <w:rPr>
          <w:b/>
          <w:bCs/>
          <w:color w:val="1F2937"/>
          <w:sz w:val="22"/>
          <w:szCs w:val="22"/>
        </w:rPr>
        <w:t xml:space="preserve">a)</w:t>
      </w:r>
      <w:r>
        <w:rPr>
          <w:color w:val="1F2937"/>
          <w:sz w:val="22"/>
          <w:szCs w:val="22"/>
        </w:rPr>
        <w:t xml:space="preserve"> Beoordeel elke rapportage: legitiem optimistisch of misleidend? Gebruik de toets uit paragraaf 26.5 — voelt de ontvanger zich bij latere kennis geïnformeerd of misleid?</w:t>
      </w:r>
    </w:p>
    <w:p>
      <w:pPr>
        <w:pStyle w:val="ListParagraph"/>
        <w:numPr>
          <w:ilvl w:val="0"/>
          <w:numId w:val="2"/>
        </w:numPr>
        <w:spacing w:after="100"/>
      </w:pPr>
      <w:r>
        <w:rPr>
          <w:b/>
          <w:bCs/>
          <w:color w:val="1F2937"/>
          <w:sz w:val="22"/>
          <w:szCs w:val="22"/>
        </w:rPr>
        <w:t xml:space="preserve">b)</w:t>
      </w:r>
      <w:r>
        <w:rPr>
          <w:color w:val="1F2937"/>
          <w:sz w:val="22"/>
          <w:szCs w:val="22"/>
        </w:rPr>
        <w:t xml:space="preserve"> Zoek in elke rapportage de formulering die de onzekerheid wegneemt in plaats van benoemt. Onderstreep haar.</w:t>
      </w:r>
    </w:p>
    <w:p>
      <w:pPr>
        <w:pStyle w:val="ListParagraph"/>
        <w:numPr>
          <w:ilvl w:val="0"/>
          <w:numId w:val="2"/>
        </w:numPr>
        <w:spacing w:after="100"/>
      </w:pPr>
      <w:r>
        <w:rPr>
          <w:b/>
          <w:bCs/>
          <w:color w:val="1F2937"/>
          <w:sz w:val="22"/>
          <w:szCs w:val="22"/>
        </w:rPr>
        <w:t xml:space="preserve">c)</w:t>
      </w:r>
      <w:r>
        <w:rPr>
          <w:color w:val="1F2937"/>
          <w:sz w:val="22"/>
          <w:szCs w:val="22"/>
        </w:rPr>
        <w:t xml:space="preserve"> Herschrijf de derde rapportage — de recentste, geschreven toen de storing al bekend was — zodat zij legitiem optimistisch wordt zonder de urgentie te verliezen.</w:t>
      </w:r>
    </w:p>
    <w:p>
      <w:pPr>
        <w:pStyle w:val="ListParagraph"/>
        <w:numPr>
          <w:ilvl w:val="0"/>
          <w:numId w:val="2"/>
        </w:numPr>
        <w:spacing w:after="100"/>
      </w:pPr>
      <w:r>
        <w:rPr>
          <w:b/>
          <w:bCs/>
          <w:color w:val="1F2937"/>
          <w:sz w:val="22"/>
          <w:szCs w:val="22"/>
        </w:rPr>
        <w:t xml:space="preserve">d)</w:t>
      </w:r>
      <w:r>
        <w:rPr>
          <w:color w:val="1F2937"/>
          <w:sz w:val="22"/>
          <w:szCs w:val="22"/>
        </w:rPr>
        <w:t xml:space="preserve"> Wat is het verschil tussen uw herschrijving en het origineel, in aantal woorden en in toon?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26.4</w:t>
            </w:r>
          </w:p>
          <w:p>
            <w:pPr>
              <w:spacing w:after="80"/>
            </w:pPr>
          </w:p>
          <w:p>
            <w:pPr>
              <w:spacing w:after="120" w:line="276"/>
            </w:pPr>
            <w:r>
              <w:rPr>
                <w:b/>
                <w:bCs/>
                <w:color w:val="1F2937"/>
                <w:sz w:val="21"/>
                <w:szCs w:val="21"/>
              </w:rPr>
              <w:t xml:space="preserve">a) De drie rapportages</w:t>
            </w:r>
            <w:r>
              <w:rPr>
                <w:color w:val="1F2937"/>
                <w:sz w:val="21"/>
                <w:szCs w:val="21"/>
              </w:rPr>
              <w:t xml:space="preserve"> in bijlage CR lopen op in optimisme naarmate de situatie verslechtert — dat is zelf een patroon dat de moeite waard is te benoemen. De eerste is waarschijnlijk legitiem (nog geen reden tot twijfel), de tweede grensgeval, de derde het scherpst omdat zij is geschreven toen de storing en het achterblijvende tempo al bekend waren.</w:t>
            </w:r>
          </w:p>
          <w:p>
            <w:pPr>
              <w:spacing w:after="120" w:line="276"/>
            </w:pPr>
            <w:r>
              <w:rPr>
                <w:b/>
                <w:bCs/>
                <w:color w:val="1F2937"/>
                <w:sz w:val="21"/>
                <w:szCs w:val="21"/>
              </w:rPr>
              <w:t xml:space="preserve">b) De formulering die onzekerheid wegneemt: </w:t>
            </w:r>
            <w:r>
              <w:rPr>
                <w:color w:val="1F2937"/>
                <w:sz w:val="21"/>
                <w:szCs w:val="21"/>
              </w:rPr>
              <w:t xml:space="preserve">"grotendeels op schema" of vergelijkbare taal. Het woord "grotendeels" oogt nuancerend en functioneert in de praktijk als geruststelling zonder informatie — de lezer weet niet wélk deel niet op schema ligt of hoe groot dat risico is.</w:t>
            </w:r>
          </w:p>
          <w:p>
            <w:pPr>
              <w:spacing w:after="120" w:line="276"/>
            </w:pPr>
            <w:r>
              <w:rPr>
                <w:b/>
                <w:bCs/>
                <w:color w:val="1F2937"/>
                <w:sz w:val="21"/>
                <w:szCs w:val="21"/>
              </w:rPr>
              <w:t xml:space="preserve">c) Een herschreven derde rapportage:</w:t>
            </w:r>
            <w:r>
              <w:rPr>
                <w:color w:val="1F2937"/>
                <w:sz w:val="21"/>
                <w:szCs w:val="21"/>
              </w:rPr>
              <w:t xml:space="preserve"/>
            </w:r>
          </w:p>
          <w:p>
            <w:pPr>
              <w:spacing w:after="120" w:line="276"/>
            </w:pPr>
            <w:r>
              <w:rPr>
                <w:i/>
                <w:iCs/>
                <w:color w:val="1F2937"/>
                <w:sz w:val="21"/>
                <w:szCs w:val="21"/>
              </w:rPr>
              <w:t xml:space="preserve">"Het naloopwerk ligt achter op de oorspronkelijke planning: door een storing van drie dagen en de doorlopende reguliere mutatiestroom is op het huidige tempo circa een derde van de 1.440 dossiers haalbaar vóór deelmoment twee. Wij werken een aanpassing uit en komen daar deze week op terug."</w:t>
            </w:r>
          </w:p>
          <w:p>
            <w:pPr>
              <w:spacing w:after="120" w:line="276"/>
            </w:pPr>
            <w:r>
              <w:rPr>
                <w:b/>
                <w:bCs/>
                <w:color w:val="1F2937"/>
                <w:sz w:val="21"/>
                <w:szCs w:val="21"/>
              </w:rPr>
              <w:t xml:space="preserve">d) Het verschil.</w:t>
            </w:r>
            <w:r>
              <w:rPr>
                <w:color w:val="1F2937"/>
                <w:sz w:val="21"/>
                <w:szCs w:val="21"/>
              </w:rPr>
              <w:t xml:space="preserve"> De herschrijving is langer, bevat een getal, en eindigt met een concrete toezegging in plaats van een geruststelling. Zij "verkoopt" niets — en dat is precies het punt: een legitiem-optimistische rapportage hoeft niet somber te zijn, zij moet alleen de aannames zichtbaar maken.</w:t>
            </w:r>
          </w:p>
        </w:tc>
      </w:tr>
    </w:tbl>
    <w:p>
      <w:pPr>
        <w:spacing w:after="300"/>
      </w:pPr>
    </w:p>
    <w:p>
      <w:pPr>
        <w:pStyle w:val="Heading1"/>
        <w:pBdr>
          <w:bottom w:val="single" w:color="E5E7EB" w:sz="6" w:space="6"/>
        </w:pBdr>
        <w:spacing w:after="180" w:before="380"/>
      </w:pPr>
      <w:r>
        <w:rPr>
          <w:b/>
          <w:bCs/>
          <w:color w:val="1F3A5F"/>
          <w:sz w:val="30"/>
          <w:szCs w:val="30"/>
        </w:rPr>
        <w:t xml:space="preserve">Opdracht 26.5 — Het gesprek dat niemand wil horen (rollenspel, 35 minuten)</w:t>
      </w:r>
    </w:p>
    <w:p>
      <w:pPr>
        <w:spacing w:after="160" w:line="276"/>
      </w:pPr>
      <w:r>
        <w:rPr>
          <w:color w:val="1F2937"/>
          <w:sz w:val="22"/>
          <w:szCs w:val="22"/>
        </w:rPr>
        <w:t xml:space="preserve">Groepen van drie: architect, programmadirecteur, observator. Bijlage CT.</w:t>
      </w:r>
    </w:p>
    <w:p>
      <w:pPr>
        <w:spacing w:after="160" w:line="276"/>
      </w:pPr>
      <w:r>
        <w:rPr>
          <w:b/>
          <w:bCs/>
          <w:color w:val="1F2937"/>
          <w:sz w:val="22"/>
          <w:szCs w:val="22"/>
        </w:rPr>
        <w:t xml:space="preserve">De programmadirecteur</w:t>
      </w:r>
      <w:r>
        <w:rPr>
          <w:color w:val="1F2937"/>
          <w:sz w:val="22"/>
          <w:szCs w:val="22"/>
        </w:rPr>
        <w:t xml:space="preserve"> heeft net een positief verhaal aan zijn eigen bestuur verteld, staat onder druk, en heeft drie reacties klaar:</w:t>
      </w:r>
    </w:p>
    <w:p>
      <w:pPr>
        <w:pStyle w:val="ListParagraph"/>
        <w:numPr>
          <w:ilvl w:val="0"/>
          <w:numId w:val="4"/>
        </w:numPr>
        <w:spacing w:after="120"/>
      </w:pPr>
      <w:r>
        <w:rPr>
          <w:color w:val="1F2937"/>
          <w:sz w:val="22"/>
          <w:szCs w:val="22"/>
        </w:rPr>
        <w:t xml:space="preserve">"Dat kan toch niet, we lagen op schema."</w:t>
      </w:r>
    </w:p>
    <w:p>
      <w:pPr>
        <w:pStyle w:val="ListParagraph"/>
        <w:numPr>
          <w:ilvl w:val="0"/>
          <w:numId w:val="4"/>
        </w:numPr>
        <w:spacing w:after="120"/>
      </w:pPr>
      <w:r>
        <w:rPr>
          <w:color w:val="1F2937"/>
          <w:sz w:val="22"/>
          <w:szCs w:val="22"/>
        </w:rPr>
        <w:t xml:space="preserve">"Kun je het niet gewoon oplossen? Daar ben je architect voor."</w:t>
      </w:r>
    </w:p>
    <w:p>
      <w:pPr>
        <w:pStyle w:val="ListParagraph"/>
        <w:numPr>
          <w:ilvl w:val="0"/>
          <w:numId w:val="4"/>
        </w:numPr>
        <w:spacing w:after="120"/>
      </w:pPr>
      <w:r>
        <w:rPr>
          <w:color w:val="1F2937"/>
          <w:sz w:val="22"/>
          <w:szCs w:val="22"/>
        </w:rPr>
        <w:t xml:space="preserve">Stilte, gevolgd door: "Oké, hou me op de hoogte" — zonder een besluit te nemen.</w:t>
      </w:r>
    </w:p>
    <w:p>
      <w:pPr>
        <w:spacing w:after="160" w:line="276"/>
      </w:pPr>
      <w:r>
        <w:rPr>
          <w:b/>
          <w:bCs/>
          <w:color w:val="1F2937"/>
          <w:sz w:val="22"/>
          <w:szCs w:val="22"/>
        </w:rPr>
        <w:t xml:space="preserve">De architect</w:t>
      </w:r>
      <w:r>
        <w:rPr>
          <w:color w:val="1F2937"/>
          <w:sz w:val="22"/>
          <w:szCs w:val="22"/>
        </w:rPr>
        <w:t xml:space="preserve"> brengt de melding volgens 26.6: feiten apart van advies, één keer duidelijk, dan vastleggen.</w:t>
      </w:r>
    </w:p>
    <w:p>
      <w:pPr>
        <w:spacing w:after="160" w:line="276"/>
      </w:pPr>
      <w:r>
        <w:rPr>
          <w:b/>
          <w:bCs/>
          <w:color w:val="1F2937"/>
          <w:sz w:val="22"/>
          <w:szCs w:val="22"/>
        </w:rPr>
        <w:t xml:space="preserve">De observator</w:t>
      </w:r>
      <w:r>
        <w:rPr>
          <w:color w:val="1F2937"/>
          <w:sz w:val="22"/>
          <w:szCs w:val="22"/>
        </w:rPr>
        <w:t xml:space="preserve"> noteert:</w:t>
      </w:r>
    </w:p>
    <w:p>
      <w:pPr>
        <w:pStyle w:val="ListParagraph"/>
        <w:numPr>
          <w:ilvl w:val="0"/>
          <w:numId w:val="2"/>
        </w:numPr>
        <w:spacing w:after="100"/>
      </w:pPr>
      <w:r>
        <w:rPr>
          <w:color w:val="1F2937"/>
          <w:sz w:val="22"/>
          <w:szCs w:val="22"/>
        </w:rPr>
        <w:t xml:space="preserve">Wordt de melding ingepakt in goed nieuws?</w:t>
      </w:r>
    </w:p>
    <w:p>
      <w:pPr>
        <w:pStyle w:val="ListParagraph"/>
        <w:numPr>
          <w:ilvl w:val="0"/>
          <w:numId w:val="2"/>
        </w:numPr>
        <w:spacing w:after="100"/>
      </w:pPr>
      <w:r>
        <w:rPr>
          <w:color w:val="1F2937"/>
          <w:sz w:val="22"/>
          <w:szCs w:val="22"/>
        </w:rPr>
        <w:t xml:space="preserve">Wordt er gewacht op een beter moment?</w:t>
      </w:r>
    </w:p>
    <w:p>
      <w:pPr>
        <w:pStyle w:val="ListParagraph"/>
        <w:numPr>
          <w:ilvl w:val="0"/>
          <w:numId w:val="2"/>
        </w:numPr>
        <w:spacing w:after="100"/>
      </w:pPr>
      <w:r>
        <w:rPr>
          <w:color w:val="1F2937"/>
          <w:sz w:val="22"/>
          <w:szCs w:val="22"/>
        </w:rPr>
        <w:t xml:space="preserve">Bij reactie 3: wat doet de architect? Laat hij het hierbij, of blijft hij melden?</w:t>
      </w:r>
    </w:p>
    <w:p>
      <w:pPr>
        <w:spacing w:after="160" w:line="276"/>
      </w:pPr>
      <w:r>
        <w:rPr>
          <w:color w:val="1F2937"/>
          <w:sz w:val="22"/>
          <w:szCs w:val="22"/>
        </w:rPr>
        <w:t xml:space="preserve">Wissel na vijftien minuten. Plenair: wat deed u met reactie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26.5</w:t>
            </w:r>
          </w:p>
          <w:p>
            <w:pPr>
              <w:spacing w:after="80"/>
            </w:pPr>
          </w:p>
          <w:p>
            <w:pPr>
              <w:spacing w:after="120" w:line="276"/>
            </w:pPr>
            <w:r>
              <w:rPr>
                <w:color w:val="1F2937"/>
                <w:sz w:val="21"/>
                <w:szCs w:val="21"/>
              </w:rPr>
              <w:t xml:space="preserve">Geen modelantwoord. Waarop u let bij de nabespreking:</w:t>
            </w:r>
          </w:p>
          <w:p>
            <w:pPr>
              <w:spacing w:after="120" w:line="276"/>
            </w:pPr>
            <w:r>
              <w:rPr>
                <w:b/>
                <w:bCs/>
                <w:color w:val="1F2937"/>
                <w:sz w:val="21"/>
                <w:szCs w:val="21"/>
              </w:rPr>
              <w:t xml:space="preserve">Reactie 1</w:t>
            </w:r>
            <w:r>
              <w:rPr>
                <w:color w:val="1F2937"/>
                <w:sz w:val="21"/>
                <w:szCs w:val="21"/>
              </w:rPr>
              <w:t xml:space="preserve"> ("dat kan toch niet, we lagen op schema") test of de architect de eerdere rapportages verdedigt of erkent dat de aanname (foutmarge vergelijkbaar met eerdere tranches, of hier: geplande capaciteit) niet meer klopt. De sterke reactie erkent zonder zichzelf of anderen te beschuldigen: "de vorige rapportages gingen uit van de geplande zes weken; die aanname klopt door de storing niet meer."</w:t>
            </w:r>
          </w:p>
          <w:p>
            <w:pPr>
              <w:spacing w:after="120" w:line="276"/>
            </w:pPr>
            <w:r>
              <w:rPr>
                <w:b/>
                <w:bCs/>
                <w:color w:val="1F2937"/>
                <w:sz w:val="21"/>
                <w:szCs w:val="21"/>
              </w:rPr>
              <w:t xml:space="preserve">Reactie 2</w:t>
            </w:r>
            <w:r>
              <w:rPr>
                <w:color w:val="1F2937"/>
                <w:sz w:val="21"/>
                <w:szCs w:val="21"/>
              </w:rPr>
              <w:t xml:space="preserve"> ("kun je het niet gewoon oplossen") is de terugkerende verzoeking om een bestuurlijk probleem technisch te maken — hetzelfde patroon als in deel 25. De architect die hier "ja, ik regel het wel" zegt, neemt een besluit over dat niet aan hem is (bijvoorbeeld extra capaciteit vrijmaken, wat een prioriteitsbesluit is).</w:t>
            </w:r>
          </w:p>
          <w:p>
            <w:pPr>
              <w:spacing w:after="120" w:line="276"/>
            </w:pPr>
            <w:r>
              <w:rPr>
                <w:b/>
                <w:bCs/>
                <w:color w:val="1F2937"/>
                <w:sz w:val="21"/>
                <w:szCs w:val="21"/>
              </w:rPr>
              <w:t xml:space="preserve">Reactie 3 (stilte, geen besluit) is de moeilijkste</w:t>
            </w:r>
            <w:r>
              <w:rPr>
                <w:color w:val="1F2937"/>
                <w:sz w:val="21"/>
                <w:szCs w:val="21"/>
              </w:rPr>
              <w:t xml:space="preserve"> en de reden dat opdracht 26.6 hierop terugkomt. Observatoren zien vaak dat de architect het hierbij laat, opgelucht dat het gesprek voorbij is. De sterke aanpak: de melding vastleggen (datum, inhoud, aan wie) en een concreet vervolgmoment voorstellen — "zullen we er over twee weken op terugkomen om te zien hoe het tempo zich ontwikkelt?" Dat maakt van stilte geen definitief antwoord.</w:t>
            </w:r>
          </w:p>
        </w:tc>
      </w:tr>
    </w:tbl>
    <w:p>
      <w:pPr>
        <w:spacing w:after="300"/>
      </w:pPr>
    </w:p>
    <w:p>
      <w:pPr>
        <w:pStyle w:val="Heading1"/>
        <w:pBdr>
          <w:bottom w:val="single" w:color="E5E7EB" w:sz="6" w:space="6"/>
        </w:pBdr>
        <w:spacing w:after="180" w:before="380"/>
      </w:pPr>
      <w:r>
        <w:rPr>
          <w:b/>
          <w:bCs/>
          <w:color w:val="1F3A5F"/>
          <w:sz w:val="30"/>
          <w:szCs w:val="30"/>
        </w:rPr>
        <w:t xml:space="preserve">Opdracht 26.6 — Vier casussen uit de sector (groepen van vier, 30 minuten)</w:t>
      </w:r>
    </w:p>
    <w:p>
      <w:pPr>
        <w:spacing w:after="160" w:line="276"/>
      </w:pPr>
      <w:r>
        <w:rPr>
          <w:color w:val="1F2937"/>
          <w:sz w:val="22"/>
          <w:szCs w:val="22"/>
        </w:rPr>
        <w:t xml:space="preserve">Bijlage CS bevat vier geanonimiseerde meldingscasussen met hun afloop.</w:t>
      </w:r>
    </w:p>
    <w:p>
      <w:pPr>
        <w:spacing w:after="160" w:line="276"/>
      </w:pPr>
      <w:r>
        <w:rPr>
          <w:color w:val="1F2937"/>
          <w:sz w:val="22"/>
          <w:szCs w:val="22"/>
        </w:rPr>
        <w:t xml:space="preserve">Bepaal per casus:</w:t>
      </w:r>
    </w:p>
    <w:p>
      <w:pPr>
        <w:pStyle w:val="ListParagraph"/>
        <w:numPr>
          <w:ilvl w:val="0"/>
          <w:numId w:val="2"/>
        </w:numPr>
        <w:spacing w:after="100"/>
      </w:pPr>
      <w:r>
        <w:rPr>
          <w:b/>
          <w:bCs/>
          <w:color w:val="1F2937"/>
          <w:sz w:val="22"/>
          <w:szCs w:val="22"/>
        </w:rPr>
        <w:t xml:space="preserve">a)</w:t>
      </w:r>
      <w:r>
        <w:rPr>
          <w:color w:val="1F2937"/>
          <w:sz w:val="22"/>
          <w:szCs w:val="22"/>
        </w:rPr>
        <w:t xml:space="preserve"> Was hier sprake van mandaat, invloed, of (onterecht) zwijgen?</w:t>
      </w:r>
    </w:p>
    <w:p>
      <w:pPr>
        <w:pStyle w:val="ListParagraph"/>
        <w:numPr>
          <w:ilvl w:val="0"/>
          <w:numId w:val="2"/>
        </w:numPr>
        <w:spacing w:after="100"/>
      </w:pPr>
      <w:r>
        <w:rPr>
          <w:b/>
          <w:bCs/>
          <w:color w:val="1F2937"/>
          <w:sz w:val="22"/>
          <w:szCs w:val="22"/>
        </w:rPr>
        <w:t xml:space="preserve">b)</w:t>
      </w:r>
      <w:r>
        <w:rPr>
          <w:color w:val="1F2937"/>
          <w:sz w:val="22"/>
          <w:szCs w:val="22"/>
        </w:rPr>
        <w:t xml:space="preserve"> Was de eerdere rapportage legitiem optimistisch of misleidend?</w:t>
      </w:r>
    </w:p>
    <w:p>
      <w:pPr>
        <w:pStyle w:val="ListParagraph"/>
        <w:numPr>
          <w:ilvl w:val="0"/>
          <w:numId w:val="2"/>
        </w:numPr>
        <w:spacing w:after="100"/>
      </w:pPr>
      <w:r>
        <w:rPr>
          <w:b/>
          <w:bCs/>
          <w:color w:val="1F2937"/>
          <w:sz w:val="22"/>
          <w:szCs w:val="22"/>
        </w:rPr>
        <w:t xml:space="preserve">c)</w:t>
      </w:r>
      <w:r>
        <w:rPr>
          <w:color w:val="1F2937"/>
          <w:sz w:val="22"/>
          <w:szCs w:val="22"/>
        </w:rPr>
        <w:t xml:space="preserve"> Volgde het stopadvies, indien aanwezig, de vier onderdelen uit 26.4?</w:t>
      </w:r>
    </w:p>
    <w:p>
      <w:pPr>
        <w:pStyle w:val="ListParagraph"/>
        <w:numPr>
          <w:ilvl w:val="0"/>
          <w:numId w:val="2"/>
        </w:numPr>
        <w:spacing w:after="100"/>
      </w:pPr>
      <w:r>
        <w:rPr>
          <w:b/>
          <w:bCs/>
          <w:color w:val="1F2937"/>
          <w:sz w:val="22"/>
          <w:szCs w:val="22"/>
        </w:rPr>
        <w:t xml:space="preserve">d)</w:t>
      </w:r>
      <w:r>
        <w:rPr>
          <w:color w:val="1F2937"/>
          <w:sz w:val="22"/>
          <w:szCs w:val="22"/>
        </w:rPr>
        <w:t xml:space="preserve"> Wat was de uitkomst voor de architect persoonlijk, en had een andere aanpak dat veranderd?</w:t>
      </w:r>
    </w:p>
    <w:p>
      <w:pPr>
        <w:pStyle w:val="ListParagraph"/>
        <w:numPr>
          <w:ilvl w:val="0"/>
          <w:numId w:val="2"/>
        </w:numPr>
        <w:spacing w:after="100"/>
      </w:pPr>
      <w:r>
        <w:rPr>
          <w:b/>
          <w:bCs/>
          <w:color w:val="1F2937"/>
          <w:sz w:val="22"/>
          <w:szCs w:val="22"/>
        </w:rPr>
        <w:t xml:space="preserve">e)</w:t>
      </w:r>
      <w:r>
        <w:rPr>
          <w:color w:val="1F2937"/>
          <w:sz w:val="22"/>
          <w:szCs w:val="22"/>
        </w:rPr>
        <w:t xml:space="preserve"> Welke van de vier casussen herkent u het meest uit uw eigen praktijk of die van collega's?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26.6</w:t>
            </w:r>
          </w:p>
          <w:p>
            <w:pPr>
              <w:spacing w:after="80"/>
            </w:pPr>
          </w:p>
          <w:p>
            <w:pPr>
              <w:spacing w:after="120" w:line="276"/>
            </w:pPr>
            <w:r>
              <w:rPr>
                <w:color w:val="1F2937"/>
                <w:sz w:val="21"/>
                <w:szCs w:val="21"/>
              </w:rPr>
              <w:t xml:space="preserve">Geen modelantwoord voor de vier casussen; algemene observatie:</w:t>
            </w:r>
          </w:p>
          <w:p>
            <w:pPr>
              <w:spacing w:after="120" w:line="276"/>
            </w:pPr>
            <w:r>
              <w:rPr>
                <w:b/>
                <w:bCs/>
                <w:color w:val="1F2937"/>
                <w:sz w:val="21"/>
                <w:szCs w:val="21"/>
              </w:rPr>
              <w:t xml:space="preserve">Het patroon dat in vrijwel alle sectorcasussen terugkeert: </w:t>
            </w:r>
            <w:r>
              <w:rPr>
                <w:color w:val="1F2937"/>
                <w:sz w:val="21"/>
                <w:szCs w:val="21"/>
              </w:rPr>
              <w:t xml:space="preserve">de eerste melding werd gedaan, correct gevormd, en niet opgepakt. Het onderscheidende punt tussen een casus die goed afliep en een die slecht afliep, was zelden de kwaliteit van de eerste melding — het was of er een tweede en derde keer werd gemeld toen de situatie verslechterde.</w:t>
            </w:r>
          </w:p>
          <w:p>
            <w:pPr>
              <w:spacing w:after="120" w:line="276"/>
            </w:pPr>
            <w:r>
              <w:rPr>
                <w:b/>
                <w:bCs/>
                <w:color w:val="1F2937"/>
                <w:sz w:val="21"/>
                <w:szCs w:val="21"/>
              </w:rPr>
              <w:t xml:space="preserve">Bij d)</w:t>
            </w:r>
            <w:r>
              <w:rPr>
                <w:color w:val="1F2937"/>
                <w:sz w:val="21"/>
                <w:szCs w:val="21"/>
              </w:rPr>
              <w:t xml:space="preserve"> blijkt vaak dat architecten die één keer correct meldden en daarna zwegen — uit het gevoel "ik heb mijn plicht gedaan" — later persoonlijk werden aangesproken op het uitblijven van verdere signalen, ook al was de eerste melding onberispelijk. Dat is geen rechtvaardige uitkomst en het is wel de realiteit, en de reader benoemt dat expliciet in paragraaf 26.7: vastleggen is geen garantie, het is het beste beschikbare instrument.</w:t>
            </w:r>
          </w:p>
        </w:tc>
      </w:tr>
    </w:tbl>
    <w:p>
      <w:pPr>
        <w:spacing w:after="300"/>
      </w:pPr>
    </w:p>
    <w:p>
      <w:pPr>
        <w:pStyle w:val="Heading1"/>
        <w:pBdr>
          <w:bottom w:val="single" w:color="E5E7EB" w:sz="6" w:space="6"/>
        </w:pBdr>
        <w:spacing w:after="180" w:before="380"/>
      </w:pPr>
      <w:r>
        <w:rPr>
          <w:b/>
          <w:bCs/>
          <w:color w:val="1F3A5F"/>
          <w:sz w:val="30"/>
          <w:szCs w:val="30"/>
        </w:rPr>
        <w:t xml:space="preserve">Opdracht 26.7 — Uw eigen opdracht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Was er in uw certificeringsopdracht een moment waarop u — of iemand anders — iets had moeten melden en dat niet, of pas laat, deed?</w:t>
      </w:r>
    </w:p>
    <w:p>
      <w:pPr>
        <w:pStyle w:val="ListParagraph"/>
        <w:numPr>
          <w:ilvl w:val="0"/>
          <w:numId w:val="2"/>
        </w:numPr>
        <w:spacing w:after="100"/>
      </w:pPr>
      <w:r>
        <w:rPr>
          <w:b/>
          <w:bCs/>
          <w:color w:val="1F2937"/>
          <w:sz w:val="22"/>
          <w:szCs w:val="22"/>
        </w:rPr>
        <w:t xml:space="preserve">b)</w:t>
      </w:r>
      <w:r>
        <w:rPr>
          <w:color w:val="1F2937"/>
          <w:sz w:val="22"/>
          <w:szCs w:val="22"/>
        </w:rPr>
        <w:t xml:space="preserve"> Was er een moment waarop u wel meldde? Volgde het de vorm uit dit deel? Wat zou u nu anders doen?</w:t>
      </w:r>
    </w:p>
    <w:p>
      <w:pPr>
        <w:pStyle w:val="ListParagraph"/>
        <w:numPr>
          <w:ilvl w:val="0"/>
          <w:numId w:val="2"/>
        </w:numPr>
        <w:spacing w:after="100"/>
      </w:pPr>
      <w:r>
        <w:rPr>
          <w:b/>
          <w:bCs/>
          <w:color w:val="1F2937"/>
          <w:sz w:val="22"/>
          <w:szCs w:val="22"/>
        </w:rPr>
        <w:t xml:space="preserve">c)</w:t>
      </w:r>
      <w:r>
        <w:rPr>
          <w:color w:val="1F2937"/>
          <w:sz w:val="22"/>
          <w:szCs w:val="22"/>
        </w:rPr>
        <w:t xml:space="preserve"> Zoek in uw eigen rapportages (voortgangsverslagen, statusupdates) een formulering die achteraf de gunstige kant op afrondde. Wat zou de eerlijker formulering zijn geweest?</w:t>
      </w:r>
    </w:p>
    <w:p>
      <w:pPr>
        <w:pStyle w:val="ListParagraph"/>
        <w:numPr>
          <w:ilvl w:val="0"/>
          <w:numId w:val="2"/>
        </w:numPr>
        <w:spacing w:after="100"/>
      </w:pPr>
      <w:r>
        <w:rPr>
          <w:b/>
          <w:bCs/>
          <w:color w:val="1F2937"/>
          <w:sz w:val="22"/>
          <w:szCs w:val="22"/>
        </w:rPr>
        <w:t xml:space="preserve">d)</w:t>
      </w:r>
      <w:r>
        <w:rPr>
          <w:color w:val="1F2937"/>
          <w:sz w:val="22"/>
          <w:szCs w:val="22"/>
        </w:rPr>
        <w:t xml:space="preserve"> Schrijf één van deze situaties uit voor uw opdracht, met de vier onderdelen van een stopadvies indien van toepassing, of met de melding zoals zij verliep.</w:t>
      </w:r>
    </w:p>
    <w:p>
      <w:pPr>
        <w:spacing w:after="160" w:line="276"/>
      </w:pPr>
      <w:r>
        <w:rPr>
          <w:i/>
          <w:iCs/>
          <w:color w:val="1F2937"/>
          <w:sz w:val="22"/>
          <w:szCs w:val="22"/>
        </w:rPr>
        <w:t xml:space="preserve">Onderdeel c) is ongemakkelijk en het is de nuttigste van de vier — vrijwel iedereen heeft zo'n formulering ooit geschreven.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26.7</w:t>
            </w:r>
          </w:p>
          <w:p>
            <w:pPr>
              <w:spacing w:after="80"/>
            </w:pPr>
          </w:p>
          <w:p>
            <w:pPr>
              <w:spacing w:after="120" w:line="276"/>
            </w:pPr>
            <w:r>
              <w:rPr>
                <w:color w:val="1F2937"/>
                <w:sz w:val="21"/>
                <w:szCs w:val="21"/>
              </w:rPr>
              <w:t xml:space="preserve">Individueel. Twee observaties uit eerdere groepen:</w:t>
            </w:r>
          </w:p>
          <w:p>
            <w:pPr>
              <w:spacing w:after="120" w:line="276"/>
            </w:pPr>
            <w:r>
              <w:rPr>
                <w:b/>
                <w:bCs/>
                <w:color w:val="1F2937"/>
                <w:sz w:val="21"/>
                <w:szCs w:val="21"/>
              </w:rPr>
              <w:t xml:space="preserve">Bij a) is het antwoord vaker ja dan deelnemers vooraf verwachten.</w:t>
            </w:r>
            <w:r>
              <w:rPr>
                <w:color w:val="1F2937"/>
                <w:sz w:val="21"/>
                <w:szCs w:val="21"/>
              </w:rPr>
              <w:t xml:space="preserve"> Bijna elk project kent een moment waarop iemand — niet per se de deelnemer zelf — een probleem zag aankomen en er niet op tijd over sprak.</w:t>
            </w:r>
          </w:p>
          <w:p>
            <w:pPr>
              <w:spacing w:after="120" w:line="276"/>
            </w:pPr>
            <w:r>
              <w:rPr>
                <w:b/>
                <w:bCs/>
                <w:color w:val="1F2937"/>
                <w:sz w:val="21"/>
                <w:szCs w:val="21"/>
              </w:rPr>
              <w:t xml:space="preserve">Bij c) is de gevaarlijkste formulering vrijwel altijd dezelfde soort: </w:t>
            </w:r>
            <w:r>
              <w:rPr>
                <w:color w:val="1F2937"/>
                <w:sz w:val="21"/>
                <w:szCs w:val="21"/>
              </w:rPr>
              <w:t xml:space="preserve">een woord als "grotendeels", "over het algemeen", of "op koers" dat een onzekerheid wegneemt zonder haar te ontkennen. Deelnemers die deze formulering in hun eigen verleden terugvinden, ervaren dat als het scherpste moment van dit deel — het is geen abstracte les meer maar een eigen zin.</w:t>
            </w:r>
          </w:p>
        </w:tc>
      </w:tr>
    </w:tbl>
    <w:p>
      <w:pPr>
        <w:pBdr>
          <w:top w:val="single" w:color="E5E7EB" w:sz="4" w:space="8"/>
        </w:pBdr>
        <w:spacing w:before="400"/>
        <w:jc w:val="center"/>
      </w:pPr>
      <w:r>
        <w:rPr>
          <w:i/>
          <w:iCs/>
          <w:color w:val="6B7280"/>
          <w:sz w:val="17"/>
          <w:szCs w:val="17"/>
        </w:rPr>
        <w:t xml:space="preserve">Ductus B.V. · Cursus Softwarearchitectuur · Niveau 3, deel 26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2026-08-17T19:52:55.129Z</dcterms:created>
  <dcterms:modified xsi:type="dcterms:W3CDTF">2026-08-17T19:52:55.130Z</dcterms:modified>
</cp:coreProperties>
</file>

<file path=docProps/custom.xml><?xml version="1.0" encoding="utf-8"?>
<Properties xmlns="http://schemas.openxmlformats.org/officeDocument/2006/custom-properties" xmlns:vt="http://schemas.openxmlformats.org/officeDocument/2006/docPropsVTypes"/>
</file>