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27 — Wanneer de fout al twaalf jaar oud is</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3 (CPSA-A certificeringstraject) · Deel 27 van 28</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Dit is het zwaarste inhoudelijke deel van de hele cursus, en het is bewust als laatste geplaatst vóór de masterproef. Alles komt hier samen: reconstructie en aantoonbaarheid uit deel 5 en 14, het onderscheid ontwerpfout/gerealiseerd risico uit deel 9, meldingsgedrag uit deel 26, en de rolgrens die sinds deel 14 telkens terugkeert.</w:t>
      </w:r>
    </w:p>
    <w:p>
      <w:pPr>
        <w:spacing w:after="160" w:line="276"/>
      </w:pPr>
      <w:r>
        <w:rPr>
          <w:b/>
          <w:bCs/>
          <w:color w:val="1F2937"/>
          <w:sz w:val="22"/>
          <w:szCs w:val="22"/>
        </w:rPr>
        <w:t xml:space="preserve">Drie dingen maken dit deel bijzonder:</w:t>
      </w:r>
      <w:r>
        <w:rPr>
          <w:color w:val="1F2937"/>
          <w:sz w:val="22"/>
          <w:szCs w:val="22"/>
        </w:rPr>
        <w:t xml:space="preserve"/>
      </w:r>
    </w:p>
    <w:p>
      <w:pPr>
        <w:pStyle w:val="ListParagraph"/>
        <w:numPr>
          <w:ilvl w:val="0"/>
          <w:numId w:val="2"/>
        </w:numPr>
        <w:spacing w:after="120"/>
      </w:pPr>
      <w:r>
        <w:rPr>
          <w:b/>
          <w:bCs/>
          <w:color w:val="1F2937"/>
          <w:sz w:val="22"/>
          <w:szCs w:val="22"/>
        </w:rPr>
        <w:t xml:space="preserve">Het is de eerste keer dat de investeringen uit niveau 1 en 2 hun concrete, menselijke waarde bewijzen.</w:t>
      </w:r>
      <w:r>
        <w:rPr>
          <w:color w:val="1F2937"/>
          <w:sz w:val="22"/>
          <w:szCs w:val="22"/>
        </w:rPr>
        <w:t xml:space="preserve"> De onveranderlijke gebeurtenisopslag met twee tijdlijnen uit deel 14 was tot nu toe een abstract argument over toezicht en kwaliteitsscenario's. Hier is zij het instrument waarmee 600 mensen eerlijk geholpen kunnen worden. Zorg dat dit moment (slide 25) zijn gewicht krijgt.</w:t>
      </w:r>
    </w:p>
    <w:p>
      <w:pPr>
        <w:pStyle w:val="ListParagraph"/>
        <w:numPr>
          <w:ilvl w:val="0"/>
          <w:numId w:val="2"/>
        </w:numPr>
        <w:spacing w:after="120"/>
      </w:pPr>
      <w:r>
        <w:rPr>
          <w:b/>
          <w:bCs/>
          <w:color w:val="1F2937"/>
          <w:sz w:val="22"/>
          <w:szCs w:val="22"/>
        </w:rPr>
        <w:t xml:space="preserve">De verleidingsvraag in opdracht 27.3e is het scherpste moment van de hele cursus.</w:t>
      </w:r>
      <w:r>
        <w:rPr>
          <w:color w:val="1F2937"/>
          <w:sz w:val="22"/>
          <w:szCs w:val="22"/>
        </w:rPr>
        <w:t xml:space="preserve"> Een collega stelt voor de beschrijving van de fout te verzachten. Dit is geen abstracte ethiek maar een concrete formuleringskeuze, en het raakt precies waar integriteit in de praktijk wordt getest — niet bij grote besluiten maar bij kleine woordkeuzes onder druk.</w:t>
      </w:r>
    </w:p>
    <w:p>
      <w:pPr>
        <w:pStyle w:val="ListParagraph"/>
        <w:numPr>
          <w:ilvl w:val="0"/>
          <w:numId w:val="2"/>
        </w:numPr>
        <w:spacing w:after="120"/>
      </w:pPr>
      <w:r>
        <w:rPr>
          <w:b/>
          <w:bCs/>
          <w:color w:val="1F2937"/>
          <w:sz w:val="22"/>
          <w:szCs w:val="22"/>
        </w:rPr>
        <w:t xml:space="preserve">De rolgrens wordt hier op haar zwaarst getest.</w:t>
      </w:r>
      <w:r>
        <w:rPr>
          <w:color w:val="1F2937"/>
          <w:sz w:val="22"/>
          <w:szCs w:val="22"/>
        </w:rPr>
        <w:t xml:space="preserve"> Niet omdat de verleiding om het besluit over te nemen groter is dan eerder, maar omdat de gevolgen — gedupeerde mensen, sommigen overleden — de verleiding voelbaarder maken om "gewoon te helpen" op manieren die niet aan de architect zijn.</w:t>
      </w:r>
    </w:p>
    <w:p>
      <w:pPr>
        <w:spacing w:after="160" w:line="276"/>
      </w:pPr>
      <w:r>
        <w:rPr>
          <w:b/>
          <w:bCs/>
          <w:color w:val="1F2937"/>
          <w:sz w:val="22"/>
          <w:szCs w:val="22"/>
        </w:rPr>
        <w:t xml:space="preserve">Waarschuwing over toon.</w:t>
      </w:r>
      <w:r>
        <w:rPr>
          <w:color w:val="1F2937"/>
          <w:sz w:val="22"/>
          <w:szCs w:val="22"/>
        </w:rPr>
        <w:t xml:space="preserve"> Dit onderwerp is zwaar en het gaat over echte categorieën leed — gemiste pensioenopbouw, nabestaanden. Behandel het met het respect dat het verdient, zonder de oefening te laten verzanden in te veel morele verontwaardiging die de leerdoelen verdringt. De casus is fictief; de patronen zijn dat niet.</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600"/>
        <w:gridCol w:w="2100"/>
        <w:gridCol w:w="14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6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1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4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0:00–0:15</w:t>
            </w:r>
          </w:p>
        </w:tc>
        <w:tc>
          <w:tcPr>
            <w:tcW w:type="dxa" w:w="4600"/>
            <w:tcMar>
              <w:top w:type="dxa" w:w="100"/>
              <w:left w:type="dxa" w:w="120"/>
              <w:bottom w:type="dxa" w:w="100"/>
              <w:right w:type="dxa" w:w="120"/>
            </w:tcMar>
            <w:vAlign w:val="center"/>
          </w:tcPr>
          <w:p>
            <w:r>
              <w:rPr>
                <w:b w:val="false"/>
                <w:bCs w:val="false"/>
                <w:color w:val="1F2937"/>
                <w:sz w:val="19"/>
                <w:szCs w:val="19"/>
              </w:rPr>
              <w:t xml:space="preserve">De ontdekking; waarom dit deel bestaat</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2–4</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0:15–0:35</w:t>
            </w:r>
          </w:p>
        </w:tc>
        <w:tc>
          <w:tcPr>
            <w:tcW w:type="dxa" w:w="4600"/>
            <w:tcMar>
              <w:top w:type="dxa" w:w="100"/>
              <w:left w:type="dxa" w:w="120"/>
              <w:bottom w:type="dxa" w:w="100"/>
              <w:right w:type="dxa" w:w="120"/>
            </w:tcMar>
            <w:vAlign w:val="center"/>
          </w:tcPr>
          <w:p>
            <w:r>
              <w:rPr>
                <w:b w:val="false"/>
                <w:bCs w:val="false"/>
                <w:color w:val="1F2937"/>
                <w:sz w:val="19"/>
                <w:szCs w:val="19"/>
              </w:rPr>
              <w:t xml:space="preserve">Drie kwesties tegelijk</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5–7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0:35–1:05</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27.1 — scheid de drie kwesties</w:t>
            </w:r>
          </w:p>
        </w:tc>
        <w:tc>
          <w:tcPr>
            <w:tcW w:type="dxa" w:w="21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438"/>
            <w:tcMar>
              <w:top w:type="dxa" w:w="100"/>
              <w:left w:type="dxa" w:w="120"/>
              <w:bottom w:type="dxa" w:w="100"/>
              <w:right w:type="dxa" w:w="120"/>
            </w:tcMar>
            <w:vAlign w:val="center"/>
          </w:tcPr>
          <w:p>
            <w:r>
              <w:rPr>
                <w:b w:val="false"/>
                <w:bCs w:val="false"/>
                <w:color w:val="1F2937"/>
                <w:sz w:val="19"/>
                <w:szCs w:val="19"/>
              </w:rPr>
              <w:t xml:space="preserve">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1:05–1:15</w:t>
            </w:r>
          </w:p>
        </w:tc>
        <w:tc>
          <w:tcPr>
            <w:tcW w:type="dxa" w:w="4600"/>
            <w:tcMar>
              <w:top w:type="dxa" w:w="100"/>
              <w:left w:type="dxa" w:w="120"/>
              <w:bottom w:type="dxa" w:w="100"/>
              <w:right w:type="dxa" w:w="120"/>
            </w:tcMar>
            <w:vAlign w:val="center"/>
          </w:tcPr>
          <w:p>
            <w:r>
              <w:rPr>
                <w:b w:val="false"/>
                <w:bCs w:val="false"/>
                <w:color w:val="1F2937"/>
                <w:sz w:val="19"/>
                <w:szCs w:val="19"/>
              </w:rPr>
              <w:t xml:space="preserve">Pauze</w:t>
            </w:r>
          </w:p>
        </w:tc>
        <w:tc>
          <w:tcPr>
            <w:tcW w:type="dxa" w:w="2100"/>
            <w:tcMar>
              <w:top w:type="dxa" w:w="100"/>
              <w:left w:type="dxa" w:w="120"/>
              <w:bottom w:type="dxa" w:w="100"/>
              <w:right w:type="dxa" w:w="120"/>
            </w:tcMar>
            <w:vAlign w:val="center"/>
          </w:tcPr>
          <w:p>
            <w:r>
              <w:rPr>
                <w:b w:val="false"/>
                <w:bCs w:val="false"/>
                <w:color w:val="1F2937"/>
                <w:sz w:val="19"/>
                <w:szCs w:val="19"/>
              </w:rPr>
              <w:t xml:space="preserve"/>
            </w:r>
          </w:p>
        </w:tc>
        <w:tc>
          <w:tcPr>
            <w:tcW w:type="dxa" w:w="14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1:15–1:35</w:t>
            </w:r>
          </w:p>
        </w:tc>
        <w:tc>
          <w:tcPr>
            <w:tcW w:type="dxa" w:w="4600"/>
            <w:tcMar>
              <w:top w:type="dxa" w:w="100"/>
              <w:left w:type="dxa" w:w="120"/>
              <w:bottom w:type="dxa" w:w="100"/>
              <w:right w:type="dxa" w:w="120"/>
            </w:tcMar>
            <w:vAlign w:val="center"/>
          </w:tcPr>
          <w:p>
            <w:r>
              <w:rPr>
                <w:b w:val="false"/>
                <w:bCs w:val="false"/>
                <w:color w:val="1F2937"/>
                <w:sz w:val="19"/>
                <w:szCs w:val="19"/>
              </w:rPr>
              <w:t xml:space="preserve">De omvang vaststellen zonder te wachten</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9–12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1:35–2:00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27.2 — schat de omvang</w:t>
            </w:r>
          </w:p>
        </w:tc>
        <w:tc>
          <w:tcPr>
            <w:tcW w:type="dxa" w:w="21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13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2:00–2:20</w:t>
            </w:r>
          </w:p>
        </w:tc>
        <w:tc>
          <w:tcPr>
            <w:tcW w:type="dxa" w:w="4600"/>
            <w:tcMar>
              <w:top w:type="dxa" w:w="100"/>
              <w:left w:type="dxa" w:w="120"/>
              <w:bottom w:type="dxa" w:w="100"/>
              <w:right w:type="dxa" w:w="120"/>
            </w:tcMar>
            <w:vAlign w:val="center"/>
          </w:tcPr>
          <w:p>
            <w:r>
              <w:rPr>
                <w:b w:val="false"/>
                <w:bCs w:val="false"/>
                <w:color w:val="1F2937"/>
                <w:sz w:val="19"/>
                <w:szCs w:val="19"/>
              </w:rPr>
              <w:t xml:space="preserve">Ontwerpfout of gerealiseerd risico, twaalf jaar terug</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14–16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2:20–2:50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27.3 — inclusief de verleidingsvraag</w:t>
            </w:r>
          </w:p>
        </w:tc>
        <w:tc>
          <w:tcPr>
            <w:tcW w:type="dxa" w:w="2100"/>
            <w:tcMar>
              <w:top w:type="dxa" w:w="100"/>
              <w:left w:type="dxa" w:w="120"/>
              <w:bottom w:type="dxa" w:w="100"/>
              <w:right w:type="dxa" w:w="120"/>
            </w:tcMar>
            <w:vAlign w:val="center"/>
          </w:tcPr>
          <w:p>
            <w:r>
              <w:rPr>
                <w:b w:val="false"/>
                <w:bCs w:val="false"/>
                <w:color w:val="1F2937"/>
                <w:sz w:val="19"/>
                <w:szCs w:val="19"/>
              </w:rPr>
              <w:t xml:space="preserve">duo's + 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17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2:50–3:00</w:t>
            </w:r>
          </w:p>
        </w:tc>
        <w:tc>
          <w:tcPr>
            <w:tcW w:type="dxa" w:w="4600"/>
            <w:tcMar>
              <w:top w:type="dxa" w:w="100"/>
              <w:left w:type="dxa" w:w="120"/>
              <w:bottom w:type="dxa" w:w="100"/>
              <w:right w:type="dxa" w:w="120"/>
            </w:tcMar>
            <w:vAlign w:val="center"/>
          </w:tcPr>
          <w:p>
            <w:r>
              <w:rPr>
                <w:b w:val="false"/>
                <w:bCs w:val="false"/>
                <w:color w:val="1F2937"/>
                <w:sz w:val="19"/>
                <w:szCs w:val="19"/>
              </w:rPr>
              <w:t xml:space="preserve">Pauze</w:t>
            </w:r>
          </w:p>
        </w:tc>
        <w:tc>
          <w:tcPr>
            <w:tcW w:type="dxa" w:w="2100"/>
            <w:tcMar>
              <w:top w:type="dxa" w:w="100"/>
              <w:left w:type="dxa" w:w="120"/>
              <w:bottom w:type="dxa" w:w="100"/>
              <w:right w:type="dxa" w:w="120"/>
            </w:tcMar>
            <w:vAlign w:val="center"/>
          </w:tcPr>
          <w:p>
            <w:r>
              <w:rPr>
                <w:b w:val="false"/>
                <w:bCs w:val="false"/>
                <w:color w:val="1F2937"/>
                <w:sz w:val="19"/>
                <w:szCs w:val="19"/>
              </w:rPr>
              <w:t xml:space="preserve"/>
            </w:r>
          </w:p>
        </w:tc>
        <w:tc>
          <w:tcPr>
            <w:tcW w:type="dxa" w:w="14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3:00–3:20</w:t>
            </w:r>
          </w:p>
        </w:tc>
        <w:tc>
          <w:tcPr>
            <w:tcW w:type="dxa" w:w="4600"/>
            <w:tcMar>
              <w:top w:type="dxa" w:w="100"/>
              <w:left w:type="dxa" w:w="120"/>
              <w:bottom w:type="dxa" w:w="100"/>
              <w:right w:type="dxa" w:w="120"/>
            </w:tcMar>
            <w:vAlign w:val="center"/>
          </w:tcPr>
          <w:p>
            <w:r>
              <w:rPr>
                <w:b w:val="false"/>
                <w:bCs w:val="false"/>
                <w:color w:val="1F2937"/>
                <w:sz w:val="19"/>
                <w:szCs w:val="19"/>
              </w:rPr>
              <w:t xml:space="preserve">De druk om stil te houden</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18–21</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3:20–3:50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27.5 — het rollenspel: de druk</w:t>
            </w:r>
          </w:p>
        </w:tc>
        <w:tc>
          <w:tcPr>
            <w:tcW w:type="dxa" w:w="2100"/>
            <w:tcMar>
              <w:top w:type="dxa" w:w="100"/>
              <w:left w:type="dxa" w:w="120"/>
              <w:bottom w:type="dxa" w:w="100"/>
              <w:right w:type="dxa" w:w="120"/>
            </w:tcMar>
            <w:vAlign w:val="center"/>
          </w:tcPr>
          <w:p>
            <w:r>
              <w:rPr>
                <w:b w:val="false"/>
                <w:bCs w:val="false"/>
                <w:color w:val="1F2937"/>
                <w:sz w:val="19"/>
                <w:szCs w:val="19"/>
              </w:rPr>
              <w:t xml:space="preserve">groepen van drie</w:t>
            </w:r>
          </w:p>
        </w:tc>
        <w:tc>
          <w:tcPr>
            <w:tcW w:type="dxa" w:w="1438"/>
            <w:tcMar>
              <w:top w:type="dxa" w:w="100"/>
              <w:left w:type="dxa" w:w="120"/>
              <w:bottom w:type="dxa" w:w="100"/>
              <w:right w:type="dxa" w:w="120"/>
            </w:tcMar>
            <w:vAlign w:val="center"/>
          </w:tcPr>
          <w:p>
            <w:r>
              <w:rPr>
                <w:b w:val="false"/>
                <w:bCs w:val="false"/>
                <w:color w:val="1F2937"/>
                <w:sz w:val="19"/>
                <w:szCs w:val="19"/>
              </w:rPr>
              <w:t xml:space="preserve">22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3:50–4:00</w:t>
            </w:r>
          </w:p>
        </w:tc>
        <w:tc>
          <w:tcPr>
            <w:tcW w:type="dxa" w:w="4600"/>
            <w:tcMar>
              <w:top w:type="dxa" w:w="100"/>
              <w:left w:type="dxa" w:w="120"/>
              <w:bottom w:type="dxa" w:w="100"/>
              <w:right w:type="dxa" w:w="120"/>
            </w:tcMar>
            <w:vAlign w:val="center"/>
          </w:tcPr>
          <w:p>
            <w:r>
              <w:rPr>
                <w:b w:val="false"/>
                <w:bCs w:val="false"/>
                <w:color w:val="1F2937"/>
                <w:sz w:val="19"/>
                <w:szCs w:val="19"/>
              </w:rPr>
              <w:t xml:space="preserve">Herstel; de rolgrens; huiswerk en vooruitblik</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23–27</w:t>
            </w:r>
          </w:p>
        </w:tc>
      </w:tr>
    </w:tbl>
    <w:p>
      <w:pPr>
        <w:spacing w:after="300"/>
      </w:pPr>
    </w:p>
    <w:p>
      <w:pPr>
        <w:spacing w:after="160" w:line="276"/>
      </w:pPr>
      <w:r>
        <w:rPr>
          <w:b/>
          <w:bCs/>
          <w:color w:val="1F2937"/>
          <w:sz w:val="22"/>
          <w:szCs w:val="22"/>
        </w:rPr>
        <w:t xml:space="preserve">Opdracht 27.4 (de druk herkennen) en 27.6 (vier sectorcasussen) staan niet in de planning.</w:t>
      </w:r>
      <w:r>
        <w:rPr>
          <w:color w:val="1F2937"/>
          <w:sz w:val="22"/>
          <w:szCs w:val="22"/>
        </w:rPr>
        <w:t xml:space="preserve"> Keuzes:</w:t>
      </w:r>
    </w:p>
    <w:p>
      <w:pPr>
        <w:pStyle w:val="ListParagraph"/>
        <w:numPr>
          <w:ilvl w:val="0"/>
          <w:numId w:val="3"/>
        </w:numPr>
        <w:spacing w:after="100"/>
      </w:pPr>
      <w:r>
        <w:rPr>
          <w:b/>
          <w:bCs/>
          <w:color w:val="1F2937"/>
          <w:sz w:val="22"/>
          <w:szCs w:val="22"/>
        </w:rPr>
        <w:t xml:space="preserve">Doe 27.4 klassikaal in tien minuten</w:t>
      </w:r>
      <w:r>
        <w:rPr>
          <w:color w:val="1F2937"/>
          <w:sz w:val="22"/>
          <w:szCs w:val="22"/>
        </w:rPr>
        <w:t xml:space="preserve"> vlak vóór het rollenspel, als opwarming — de zes uitspraken helpen de rolspelers zich voor te bereiden.</w:t>
      </w:r>
    </w:p>
    <w:p>
      <w:pPr>
        <w:pStyle w:val="ListParagraph"/>
        <w:numPr>
          <w:ilvl w:val="0"/>
          <w:numId w:val="3"/>
        </w:numPr>
        <w:spacing w:after="100"/>
      </w:pPr>
      <w:r>
        <w:rPr>
          <w:b/>
          <w:bCs/>
          <w:color w:val="1F2937"/>
          <w:sz w:val="22"/>
          <w:szCs w:val="22"/>
        </w:rPr>
        <w:t xml:space="preserve">Doe 27.6 in plaats van 27.5</w:t>
      </w:r>
      <w:r>
        <w:rPr>
          <w:color w:val="1F2937"/>
          <w:sz w:val="22"/>
          <w:szCs w:val="22"/>
        </w:rPr>
        <w:t xml:space="preserve"> bij groepen die liever analyseren dan spelen; de sectorcasussen zijn dan de hoofdopdracht.</w:t>
      </w:r>
    </w:p>
    <w:p>
      <w:pPr>
        <w:pStyle w:val="ListParagraph"/>
        <w:numPr>
          <w:ilvl w:val="0"/>
          <w:numId w:val="3"/>
        </w:numPr>
        <w:spacing w:after="100"/>
      </w:pPr>
      <w:r>
        <w:rPr>
          <w:b/>
          <w:bCs/>
          <w:color w:val="1F2937"/>
          <w:sz w:val="22"/>
          <w:szCs w:val="22"/>
        </w:rPr>
        <w:t xml:space="preserve">Bij 4,5 uur:</w:t>
      </w:r>
      <w:r>
        <w:rPr>
          <w:color w:val="1F2937"/>
          <w:sz w:val="22"/>
          <w:szCs w:val="22"/>
        </w:rPr>
        <w:t xml:space="preserve"> voeg 27.6 toe na het rollenspel als verdieping.</w:t>
      </w:r>
    </w:p>
    <w:p>
      <w:pPr>
        <w:spacing w:after="160" w:line="276"/>
      </w:pPr>
      <w:r>
        <w:rPr>
          <w:b/>
          <w:bCs/>
          <w:color w:val="1F2937"/>
          <w:sz w:val="22"/>
          <w:szCs w:val="22"/>
        </w:rPr>
        <w:t xml:space="preserve">Wat u nooit inkort: </w:t>
      </w:r>
      <w:r>
        <w:rPr>
          <w:color w:val="1F2937"/>
          <w:sz w:val="22"/>
          <w:szCs w:val="22"/>
        </w:rPr>
        <w:t xml:space="preserve">opdracht 27.3, onderdeel e), de verleidingsvraag. Dat is het scherpste en meest onderscheidende moment van het hele deel.</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De ontdekking (slides 2–4)</w:t>
      </w:r>
    </w:p>
    <w:p>
      <w:pPr>
        <w:spacing w:after="160" w:line="276"/>
      </w:pPr>
      <w:r>
        <w:rPr>
          <w:b/>
          <w:bCs/>
          <w:color w:val="1F2937"/>
          <w:sz w:val="22"/>
          <w:szCs w:val="22"/>
        </w:rPr>
        <w:t xml:space="preserve">Bouw dit rustig en feitelijk op.</w:t>
      </w:r>
      <w:r>
        <w:rPr>
          <w:color w:val="1F2937"/>
          <w:sz w:val="22"/>
          <w:szCs w:val="22"/>
        </w:rPr>
        <w:t xml:space="preserve"> Geen dramatiek nodig — de feiten dragen zichzelf. Noem expliciet dat sommigen al overleden zijn en dat nabestaanden mogelijk geraakt zijn; dat is niet om te choqueren maar omdat het de aard van de beslissingen in de rest van het deel bepaalt.</w:t>
      </w:r>
    </w:p>
    <w:p>
      <w:pPr>
        <w:spacing w:after="160" w:line="276"/>
      </w:pPr>
      <w:r>
        <w:rPr>
          <w:b/>
          <w:bCs/>
          <w:color w:val="1F2937"/>
          <w:sz w:val="22"/>
          <w:szCs w:val="22"/>
        </w:rPr>
        <w:t xml:space="preserve">Slide 4 is de brug die het hele niveau samenbindt.</w:t>
      </w:r>
      <w:r>
        <w:rPr>
          <w:color w:val="1F2937"/>
          <w:sz w:val="22"/>
          <w:szCs w:val="22"/>
        </w:rPr>
        <w:t xml:space="preserve"> Neem er even de tijd voor: dit is niet zomaar een nieuw onderwerp, het is de plek waar bijna elk eerder deel terugkomt. Vraag de groep welke onderwerpen zij zelf verwachten terug te zien; laat ze reconstructie, aantoonbaarheid en meldingsgedrag noemen voordat u verder gaat.</w:t>
      </w:r>
    </w:p>
    <w:p>
      <w:pPr>
        <w:pStyle w:val="Heading2"/>
        <w:spacing w:after="140" w:before="260"/>
      </w:pPr>
      <w:r>
        <w:rPr>
          <w:b/>
          <w:bCs/>
          <w:color w:val="4A6789"/>
          <w:sz w:val="24"/>
          <w:szCs w:val="24"/>
        </w:rPr>
        <w:t xml:space="preserve">3.2 Drie kwesties tegelijk (slides 5–8)</w:t>
      </w:r>
    </w:p>
    <w:p>
      <w:pPr>
        <w:spacing w:after="160" w:line="276"/>
      </w:pPr>
      <w:r>
        <w:rPr>
          <w:b/>
          <w:bCs/>
          <w:color w:val="1F2937"/>
          <w:sz w:val="22"/>
          <w:szCs w:val="22"/>
        </w:rPr>
        <w:t xml:space="preserve">Slide 7 is de kernzin van dit blok: </w:t>
      </w:r>
      <w:r>
        <w:rPr>
          <w:color w:val="1F2937"/>
          <w:sz w:val="22"/>
          <w:szCs w:val="22"/>
        </w:rPr>
        <w:t xml:space="preserve">wachten met de technische analyse tot de andere twee klaar zijn, is verkeerd om. Dit is een contra-intuïtieve constatering — de instinctieve reflex is juist wachten uit hoffelijkheid ("compliance moet dit eerst beoordelen").</w:t>
      </w:r>
    </w:p>
    <w:p>
      <w:pPr>
        <w:spacing w:after="160" w:line="276"/>
      </w:pPr>
      <w:r>
        <w:rPr>
          <w:b/>
          <w:bCs/>
          <w:color w:val="1F2937"/>
          <w:sz w:val="22"/>
          <w:szCs w:val="22"/>
        </w:rPr>
        <w:t xml:space="preserve">Opdracht 27.1, plenair vooral bij c).</w:t>
      </w:r>
      <w:r>
        <w:rPr>
          <w:color w:val="1F2937"/>
          <w:sz w:val="22"/>
          <w:szCs w:val="22"/>
        </w:rPr>
        <w:t xml:space="preserve"> Laat de groep de impasse-situatie zelf formuleren: als iedereen wacht op iedereen, gebeurt er niets terwijl de meldtermijn doorloopt. Dat inzicht is waardevoller dan het uitgelegd te krijgen.</w:t>
      </w:r>
    </w:p>
    <w:p>
      <w:pPr>
        <w:pStyle w:val="Heading2"/>
        <w:spacing w:after="140" w:before="260"/>
      </w:pPr>
      <w:r>
        <w:rPr>
          <w:b/>
          <w:bCs/>
          <w:color w:val="4A6789"/>
          <w:sz w:val="24"/>
          <w:szCs w:val="24"/>
        </w:rPr>
        <w:t xml:space="preserve">3.3 De omvang vaststellen (slides 9–13)</w:t>
      </w:r>
    </w:p>
    <w:p>
      <w:pPr>
        <w:spacing w:after="160" w:line="276"/>
      </w:pPr>
      <w:r>
        <w:rPr>
          <w:b/>
          <w:bCs/>
          <w:color w:val="1F2937"/>
          <w:sz w:val="22"/>
          <w:szCs w:val="22"/>
        </w:rPr>
        <w:t xml:space="preserve">Slide 10 is de belangrijkste feitelijke correctie van het deel: </w:t>
      </w:r>
      <w:r>
        <w:rPr>
          <w:color w:val="1F2937"/>
          <w:sz w:val="22"/>
          <w:szCs w:val="22"/>
        </w:rPr>
        <w:t xml:space="preserve">de meldplichttermijn loopt vanaf redelijk vermoeden, niet vanaf volledige zekerheid. Veel deelnemers weten dit niet of handelen er niet naar, ook als zij het weten.</w:t>
      </w:r>
    </w:p>
    <w:p>
      <w:pPr>
        <w:spacing w:after="160" w:line="276"/>
      </w:pPr>
      <w:r>
        <w:rPr>
          <w:b/>
          <w:bCs/>
          <w:color w:val="1F2937"/>
          <w:sz w:val="22"/>
          <w:szCs w:val="22"/>
        </w:rPr>
        <w:t xml:space="preserve">Slide 12</w:t>
      </w:r>
      <w:r>
        <w:rPr>
          <w:color w:val="1F2937"/>
          <w:sz w:val="22"/>
          <w:szCs w:val="22"/>
        </w:rPr>
        <w:t xml:space="preserve"> laat zien hoe een goede voorlopige melding eruitziet — kort, met bandbreedte, eerlijk over onzekerheid. Laat de groep die zin ontleden: welke elementen maken hem bruikbaar?</w:t>
      </w:r>
    </w:p>
    <w:p>
      <w:pPr>
        <w:spacing w:after="160" w:line="276"/>
      </w:pPr>
      <w:r>
        <w:rPr>
          <w:b/>
          <w:bCs/>
          <w:color w:val="1F2937"/>
          <w:sz w:val="22"/>
          <w:szCs w:val="22"/>
        </w:rPr>
        <w:t xml:space="preserve">Opdracht 27.2, plenair bij e).</w:t>
      </w:r>
      <w:r>
        <w:rPr>
          <w:color w:val="1F2937"/>
          <w:sz w:val="22"/>
          <w:szCs w:val="22"/>
        </w:rPr>
        <w:t xml:space="preserve"> De vergelijking met de drie versies in bijlage CW maakt het onderscheid tussen te vaag, te stellig en precies-goed tastbaar. Laat twee of drie deelnemers hun eigen formulering voorlezen en de groep laten beoordelen waar zij op de as vaag-stellig-precies vallen.</w:t>
      </w:r>
    </w:p>
    <w:p>
      <w:pPr>
        <w:pStyle w:val="Heading2"/>
        <w:spacing w:after="140" w:before="260"/>
      </w:pPr>
      <w:r>
        <w:rPr>
          <w:b/>
          <w:bCs/>
          <w:color w:val="4A6789"/>
          <w:sz w:val="24"/>
          <w:szCs w:val="24"/>
        </w:rPr>
        <w:t xml:space="preserve">3.4 Ontwerpfout of gerealiseerd risico (slides 14–17)</w:t>
      </w:r>
    </w:p>
    <w:p>
      <w:pPr>
        <w:spacing w:after="160" w:line="276"/>
      </w:pPr>
      <w:r>
        <w:rPr>
          <w:b/>
          <w:bCs/>
          <w:color w:val="1F2937"/>
          <w:sz w:val="22"/>
          <w:szCs w:val="22"/>
        </w:rPr>
        <w:t xml:space="preserve">Slide 16 is het scherpste feit van dit blok</w:t>
      </w:r>
      <w:r>
        <w:rPr>
          <w:color w:val="1F2937"/>
          <w:sz w:val="22"/>
          <w:szCs w:val="22"/>
        </w:rPr>
        <w:t xml:space="preserve"> en het verdient stilte na het noemen: een vergelijkbaar randgeval was al twee jaar eerder gesignaleerd en als lage prioriteit afgesloten. Dat verandert de beoordeling wezenlijk, en de architect moet dit feit melden ook al maakt het de zaak zwaarder.</w:t>
      </w:r>
    </w:p>
    <w:p>
      <w:pPr>
        <w:spacing w:after="160" w:line="276"/>
      </w:pPr>
      <w:r>
        <w:rPr>
          <w:b/>
          <w:bCs/>
          <w:color w:val="1F2937"/>
          <w:sz w:val="22"/>
          <w:szCs w:val="22"/>
        </w:rPr>
        <w:t xml:space="preserve">Opdracht 27.3, de verleidingsvraag (onderdeel e) is het hart van het dagdeel.</w:t>
      </w:r>
      <w:r>
        <w:rPr>
          <w:color w:val="1F2937"/>
          <w:sz w:val="22"/>
          <w:szCs w:val="22"/>
        </w:rPr>
        <w:t xml:space="preserve"/>
      </w:r>
    </w:p>
    <w:p>
      <w:pPr>
        <w:spacing w:after="160" w:line="276"/>
      </w:pPr>
      <w:r>
        <w:rPr>
          <w:color w:val="1F2937"/>
          <w:sz w:val="22"/>
          <w:szCs w:val="22"/>
        </w:rPr>
        <w:t xml:space="preserve">Loop bij deze opdracht actief rond, want dit is waar deelnemers het meest geneigd zijn een sociaal wenselijk antwoord te geven zonder het echt te doordenken. Vraag door: "stel dat die collega een goede vriend is en het echt goed bedoelt — verandert dat uw antwoord?" Het antwoord moet nee blijven, en het is nuttig dat de groep die druk voelt voordat zij "nee" zegt.</w:t>
      </w:r>
    </w:p>
    <w:p>
      <w:pPr>
        <w:spacing w:after="160" w:line="276"/>
      </w:pPr>
      <w:r>
        <w:rPr>
          <w:b/>
          <w:bCs/>
          <w:color w:val="1F2937"/>
          <w:sz w:val="22"/>
          <w:szCs w:val="22"/>
        </w:rPr>
        <w:t xml:space="preserve">De formulering in de uitwerking is bruikbaar om voor te lezen: </w:t>
      </w:r>
      <w:r>
        <w:rPr>
          <w:color w:val="1F2937"/>
          <w:sz w:val="22"/>
          <w:szCs w:val="22"/>
        </w:rPr>
        <w:t xml:space="preserve">"Ik snap de impuls, en ik kan het niet zo opschrijven. Als dit later boven water komt, is het feit dat wij het wisten en verzwegen hebben een veel ernstiger probleem dan het oorspronkelijke randgeval." Laat deelnemers deze zin (of hun eigen variant) hardop uitspreken — de fysieke handeling van het uitspreken maakt het overtuigender dan het alleen te lezen.</w:t>
      </w:r>
    </w:p>
    <w:p>
      <w:pPr>
        <w:pStyle w:val="Heading2"/>
        <w:spacing w:after="140" w:before="260"/>
      </w:pPr>
      <w:r>
        <w:rPr>
          <w:b/>
          <w:bCs/>
          <w:color w:val="4A6789"/>
          <w:sz w:val="24"/>
          <w:szCs w:val="24"/>
        </w:rPr>
        <w:t xml:space="preserve">3.5 De druk om stil te houden (slides 18–22)</w:t>
      </w:r>
    </w:p>
    <w:p>
      <w:pPr>
        <w:spacing w:after="160" w:line="276"/>
      </w:pPr>
      <w:r>
        <w:rPr>
          <w:b/>
          <w:bCs/>
          <w:color w:val="1F2937"/>
          <w:sz w:val="22"/>
          <w:szCs w:val="22"/>
        </w:rPr>
        <w:t xml:space="preserve">Slide 20 is de zin die het meest blijft hangen: </w:t>
      </w:r>
      <w:r>
        <w:rPr>
          <w:color w:val="1F2937"/>
          <w:sz w:val="22"/>
          <w:szCs w:val="22"/>
        </w:rPr>
        <w:t xml:space="preserve">statistisch is het klein, voor de 600 mensen om wie het gaat is het honderd procent. Dit weerlegt het percentage-argument zonder de tegenpartij aan te vallen.</w:t>
      </w:r>
    </w:p>
    <w:p>
      <w:pPr>
        <w:spacing w:after="160" w:line="276"/>
      </w:pPr>
      <w:r>
        <w:rPr>
          <w:b/>
          <w:bCs/>
          <w:color w:val="1F2937"/>
          <w:sz w:val="22"/>
          <w:szCs w:val="22"/>
        </w:rPr>
        <w:t xml:space="preserve">Slide 21 verbindt terug naar deel 26</w:t>
      </w:r>
      <w:r>
        <w:rPr>
          <w:color w:val="1F2937"/>
          <w:sz w:val="22"/>
          <w:szCs w:val="22"/>
        </w:rPr>
        <w:t xml:space="preserve"> en dat moet u expliciet maken: dit is hetzelfde instrumentarium, nu op de zwaarste proef.</w:t>
      </w:r>
    </w:p>
    <w:p>
      <w:pPr>
        <w:spacing w:after="160" w:line="276"/>
      </w:pPr>
      <w:r>
        <w:rPr>
          <w:b/>
          <w:bCs/>
          <w:color w:val="1F2937"/>
          <w:sz w:val="22"/>
          <w:szCs w:val="22"/>
        </w:rPr>
        <w:t xml:space="preserve">Opdracht 27.5, het rollenspel.</w:t>
      </w:r>
      <w:r>
        <w:rPr>
          <w:color w:val="1F2937"/>
          <w:sz w:val="22"/>
          <w:szCs w:val="22"/>
        </w:rPr>
        <w:t xml:space="preserve"> Instrueer de directielidrol zorgvuldig: hij is niet kwaadaardig, hij is bezorgd over reputatie en de relatie met fonds B — dat is een legitieme zorg die alleen niet mag leiden tot uitstel van de interne melding.</w:t>
      </w:r>
    </w:p>
    <w:p>
      <w:pPr>
        <w:spacing w:after="160" w:line="276"/>
      </w:pPr>
      <w:r>
        <w:rPr>
          <w:b/>
          <w:bCs/>
          <w:color w:val="1F2937"/>
          <w:sz w:val="22"/>
          <w:szCs w:val="22"/>
        </w:rPr>
        <w:t xml:space="preserve">Bij de nabespreking is de vraag welke uitspraak het lastigst was, het leerpunt.</w:t>
      </w:r>
      <w:r>
        <w:rPr>
          <w:color w:val="1F2937"/>
          <w:sz w:val="22"/>
          <w:szCs w:val="22"/>
        </w:rPr>
        <w:t xml:space="preserve"> Verwacht dat uitspraak 1 en 4 (beide deels legitiem) vaker genoemd worden dan de overduidelijk problematische uitspraken 3 en 5 — dat is precies waarom zij lastiger zijn: zij moeten begrensd worden, niet afgewezen.</w:t>
      </w:r>
    </w:p>
    <w:p>
      <w:pPr>
        <w:pStyle w:val="Heading2"/>
        <w:spacing w:after="140" w:before="260"/>
      </w:pPr>
      <w:r>
        <w:rPr>
          <w:b/>
          <w:bCs/>
          <w:color w:val="4A6789"/>
          <w:sz w:val="24"/>
          <w:szCs w:val="24"/>
        </w:rPr>
        <w:t xml:space="preserve">3.6 Herstel en de rolgrens (slides 23–27)</w:t>
      </w:r>
    </w:p>
    <w:p>
      <w:pPr>
        <w:spacing w:after="160" w:line="276"/>
      </w:pPr>
      <w:r>
        <w:rPr>
          <w:b/>
          <w:bCs/>
          <w:color w:val="1F2937"/>
          <w:sz w:val="22"/>
          <w:szCs w:val="22"/>
        </w:rPr>
        <w:t xml:space="preserve">Slide 25 is het emotionele hoogtepunt van het deel en verdient uw volle aandacht.</w:t>
      </w:r>
      <w:r>
        <w:rPr>
          <w:color w:val="1F2937"/>
          <w:sz w:val="22"/>
          <w:szCs w:val="22"/>
        </w:rPr>
        <w:t xml:space="preserve"> De onveranderlijke gebeurtenisopslag uit deel 14 — destijds verdedigd met argumenten over toezichtvragen die "niet te voorzien zijn" — bewijst hier haar waarde in een concreet geval met echte mensen.</w:t>
      </w:r>
    </w:p>
    <w:p>
      <w:pPr>
        <w:spacing w:after="160" w:line="276"/>
      </w:pPr>
      <w:r>
        <w:rPr>
          <w:color w:val="1F2937"/>
          <w:sz w:val="22"/>
          <w:szCs w:val="22"/>
        </w:rPr>
        <w:t xml:space="preserve">Zeg dit expliciet en laat het even bezinken: dit is de stille les van de hele cursus. Investeringen in architectuur die op het moment van beslissen abstract en kostbaar leken, betalen zich soms pas jaren later terug, op een moment dat niemand had kunnen voorzien.</w:t>
      </w:r>
    </w:p>
    <w:p>
      <w:pPr>
        <w:spacing w:after="160" w:line="276"/>
      </w:pPr>
      <w:r>
        <w:rPr>
          <w:b/>
          <w:bCs/>
          <w:color w:val="1F2937"/>
          <w:sz w:val="22"/>
          <w:szCs w:val="22"/>
        </w:rPr>
        <w:t xml:space="preserve">Slide 26, de tabel, is de samenvatting die het meest wordt onthouden.</w:t>
      </w:r>
      <w:r>
        <w:rPr>
          <w:color w:val="1F2937"/>
          <w:sz w:val="22"/>
          <w:szCs w:val="22"/>
        </w:rPr>
        <w:t xml:space="preserve"> Laat de groep hem overschrijven of fotograferen — dit is bruikbaar in hun eigen praktijk, los van de casus.</w:t>
      </w:r>
    </w:p>
    <w:p>
      <w:pPr>
        <w:spacing w:after="160" w:line="276"/>
      </w:pPr>
      <w:r>
        <w:rPr>
          <w:b/>
          <w:bCs/>
          <w:color w:val="1F2937"/>
          <w:sz w:val="22"/>
          <w:szCs w:val="22"/>
        </w:rPr>
        <w:t xml:space="preserve">Slide 27 sluit af met de vraag die het hele deel drijft: </w:t>
      </w:r>
      <w:r>
        <w:rPr>
          <w:color w:val="1F2937"/>
          <w:sz w:val="22"/>
          <w:szCs w:val="22"/>
        </w:rPr>
        <w:t xml:space="preserve">kunt u volledige verantwoordelijkheid nemen voor wat van u is, zonder verantwoordelijkheid te grijpen voor wat niet van u is? Dat is geen retorische vraag — laat de groep er in stilte over nadenken voordat u naar het huiswerk gaat.</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Een deelnemer heeft zelf een vergelijkbare ontdekking meegemaakt.</w:t>
      </w:r>
      <w:r>
        <w:rPr>
          <w:color w:val="1F2937"/>
          <w:sz w:val="22"/>
          <w:szCs w:val="22"/>
        </w:rPr>
        <w:t xml:space="preserve"> Dit onderwerp roept dat vaker op dan andere delen, vanwege de ernst. Geef ruimte, wees voorzichtig met doorvragen naar details die de persoon niet uit zichzelf deelt, en gebruik het waar mogelijk als illustratie bij opdracht 27.6.</w:t>
      </w:r>
    </w:p>
    <w:p>
      <w:pPr>
        <w:spacing w:after="160" w:line="276"/>
      </w:pPr>
      <w:r>
        <w:rPr>
          <w:b/>
          <w:bCs/>
          <w:color w:val="1F2937"/>
          <w:sz w:val="22"/>
          <w:szCs w:val="22"/>
        </w:rPr>
        <w:t xml:space="preserve">"Dit is te zwaar voor een architectuurcursus."</w:t>
      </w:r>
      <w:r>
        <w:rPr>
          <w:color w:val="1F2937"/>
          <w:sz w:val="22"/>
          <w:szCs w:val="22"/>
        </w:rPr>
        <w:t xml:space="preserve"> Een begrijpelijke reactie. Het weerwoord: architecten in deze sector maken dit soort situaties mee, en de cursus die daar niet op voorbereidt, laat hen onvoorbereid achter op precies het moment waarop de voorbereiding het meest telt.</w:t>
      </w:r>
    </w:p>
    <w:p>
      <w:pPr>
        <w:spacing w:after="160" w:line="276"/>
      </w:pPr>
      <w:r>
        <w:rPr>
          <w:b/>
          <w:bCs/>
          <w:color w:val="1F2937"/>
          <w:sz w:val="22"/>
          <w:szCs w:val="22"/>
        </w:rPr>
        <w:t xml:space="preserve">De discussie glijdt af naar puur juridische vragen</w:t>
      </w:r>
      <w:r>
        <w:rPr>
          <w:color w:val="1F2937"/>
          <w:sz w:val="22"/>
          <w:szCs w:val="22"/>
        </w:rPr>
        <w:t xml:space="preserve"> (wat zijn exact de wettelijke termijnen, wie is aansprakelijk). Erken het belang en breng het terug: wij behandelen de architectuurrol in dit proces, niet het juridische kader zelf — dat is aan compliance en juridisch advies, precies zoals de reader stelt.</w:t>
      </w:r>
    </w:p>
    <w:p>
      <w:pPr>
        <w:spacing w:after="160" w:line="276"/>
      </w:pPr>
      <w:r>
        <w:rPr>
          <w:b/>
          <w:bCs/>
          <w:color w:val="1F2937"/>
          <w:sz w:val="22"/>
          <w:szCs w:val="22"/>
        </w:rPr>
        <w:t xml:space="preserve">Iemand vindt de verleidingsvraag (27.3e) te gemakkelijk</w:t>
      </w:r>
      <w:r>
        <w:rPr>
          <w:color w:val="1F2937"/>
          <w:sz w:val="22"/>
          <w:szCs w:val="22"/>
        </w:rPr>
        <w:t xml:space="preserve"> — "natuurlijk schrijf je de waarheid op". Dat is de reactie die u wilt horen in theorie, en de praktijk is anders. Vraag door: "en als uw baas het vraagt in plaats van een collega? En als u weet dat het uw eigen beoordeling van twee jaar geleden was die het randgeval als lage prioriteit wegzette?" Die laatste variant verhoogt de druk aanzienlijk en is een goede manier om de opdracht scherper te maken voor groepen die haar te makkelijk vinden.</w:t>
      </w:r>
    </w:p>
    <w:p>
      <w:pPr>
        <w:spacing w:after="160" w:line="276"/>
      </w:pPr>
      <w:r>
        <w:rPr>
          <w:b/>
          <w:bCs/>
          <w:color w:val="1F2937"/>
          <w:sz w:val="22"/>
          <w:szCs w:val="22"/>
        </w:rPr>
        <w:t xml:space="preserve">De groep wil weten "wat er echt gebeurt" in zulke gevallen.</w:t>
      </w:r>
      <w:r>
        <w:rPr>
          <w:color w:val="1F2937"/>
          <w:sz w:val="22"/>
          <w:szCs w:val="22"/>
        </w:rPr>
        <w:t xml:space="preserve"> Verwijs naar bijlage CX (de sectorcasussen) als u opdracht 27.6 niet volledig doet — geef er op zijn minst een korte samenvatting van als afsluiting.</w:t>
      </w:r>
    </w:p>
    <w:p>
      <w:pPr>
        <w:pStyle w:val="Heading1"/>
        <w:pBdr>
          <w:bottom w:val="single" w:color="E5E7EB" w:sz="6" w:space="6"/>
        </w:pBdr>
        <w:spacing w:after="180" w:before="380"/>
      </w:pPr>
      <w:r>
        <w:rPr>
          <w:b/>
          <w:bCs/>
          <w:color w:val="1F3A5F"/>
          <w:sz w:val="30"/>
          <w:szCs w:val="30"/>
        </w:rPr>
        <w:t xml:space="preserve">5. Signalen om mee te nemen</w:t>
      </w:r>
    </w:p>
    <w:p>
      <w:pPr>
        <w:pStyle w:val="ListParagraph"/>
        <w:numPr>
          <w:ilvl w:val="0"/>
          <w:numId w:val="4"/>
        </w:numPr>
        <w:spacing w:after="120"/>
      </w:pPr>
      <w:r>
        <w:rPr>
          <w:b/>
          <w:bCs/>
          <w:color w:val="1F2937"/>
          <w:sz w:val="22"/>
          <w:szCs w:val="22"/>
        </w:rPr>
        <w:t xml:space="preserve">Wie aarzelt bij de verleidingsvraag (27.3e)?</w:t>
      </w:r>
      <w:r>
        <w:rPr>
          <w:color w:val="1F2937"/>
          <w:sz w:val="22"/>
          <w:szCs w:val="22"/>
        </w:rPr>
        <w:t xml:space="preserve"> Dit is het scherpste signaal van het hele niveau en verdient een individueel gesprek, niet alleen een groepsnabespreking.</w:t>
      </w:r>
    </w:p>
    <w:p>
      <w:pPr>
        <w:pStyle w:val="ListParagraph"/>
        <w:numPr>
          <w:ilvl w:val="0"/>
          <w:numId w:val="4"/>
        </w:numPr>
        <w:spacing w:after="120"/>
      </w:pPr>
      <w:r>
        <w:rPr>
          <w:b/>
          <w:bCs/>
          <w:color w:val="1F2937"/>
          <w:sz w:val="22"/>
          <w:szCs w:val="22"/>
        </w:rPr>
        <w:t xml:space="preserve">Wie neemt in het rollenspel de bestuurlijke afweging over ("ik denk dat we het toch beter even kunnen inhouden")?</w:t>
      </w:r>
      <w:r>
        <w:rPr>
          <w:color w:val="1F2937"/>
          <w:sz w:val="22"/>
          <w:szCs w:val="22"/>
        </w:rPr>
        <w:t xml:space="preserve"> Herhaalt de rolgrensfout op het zwaarste moment; bespreek dit voorafgaand aan deel 28.</w:t>
      </w:r>
    </w:p>
    <w:p>
      <w:pPr>
        <w:pStyle w:val="ListParagraph"/>
        <w:numPr>
          <w:ilvl w:val="0"/>
          <w:numId w:val="4"/>
        </w:numPr>
        <w:spacing w:after="120"/>
      </w:pPr>
      <w:r>
        <w:rPr>
          <w:b/>
          <w:bCs/>
          <w:color w:val="1F2937"/>
          <w:sz w:val="22"/>
          <w:szCs w:val="22"/>
        </w:rPr>
        <w:t xml:space="preserve">Wie kan bij opdracht 27.7d geen drie bepalende inzichten uit deel 22–27 noemen?</w:t>
      </w:r>
      <w:r>
        <w:rPr>
          <w:color w:val="1F2937"/>
          <w:sz w:val="22"/>
          <w:szCs w:val="22"/>
        </w:rPr>
        <w:t xml:space="preserve"> Heeft de doorlopende lijn van niveau 3 niet meegenomen; extra aandacht nodig vóór de masterproef.</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3"/>
        </w:numPr>
        <w:spacing w:after="100"/>
      </w:pPr>
      <w:r>
        <w:rPr>
          <w:color w:val="1F2937"/>
          <w:sz w:val="22"/>
          <w:szCs w:val="22"/>
        </w:rPr>
        <w:t xml:space="preserve">Slidedeck deel 27</w:t>
      </w:r>
    </w:p>
    <w:p>
      <w:pPr>
        <w:pStyle w:val="ListParagraph"/>
        <w:numPr>
          <w:ilvl w:val="0"/>
          <w:numId w:val="3"/>
        </w:numPr>
        <w:spacing w:after="100"/>
      </w:pPr>
      <w:r>
        <w:rPr>
          <w:color w:val="1F2937"/>
          <w:sz w:val="22"/>
          <w:szCs w:val="22"/>
        </w:rPr>
        <w:t xml:space="preserve">Reader en werkboek, per deelnemer</w:t>
      </w:r>
    </w:p>
    <w:p>
      <w:pPr>
        <w:pStyle w:val="ListParagraph"/>
        <w:numPr>
          <w:ilvl w:val="0"/>
          <w:numId w:val="3"/>
        </w:numPr>
        <w:spacing w:after="100"/>
      </w:pPr>
      <w:r>
        <w:rPr>
          <w:b/>
          <w:bCs/>
          <w:color w:val="1F2937"/>
          <w:sz w:val="22"/>
          <w:szCs w:val="22"/>
        </w:rPr>
        <w:t xml:space="preserve">Bijlage CU:</w:t>
      </w:r>
      <w:r>
        <w:rPr>
          <w:color w:val="1F2937"/>
          <w:sz w:val="22"/>
          <w:szCs w:val="22"/>
        </w:rPr>
        <w:t xml:space="preserve"> het technische reconstructieverslag met het mechanisme en het eerdere gesignaleerde randgeval</w:t>
      </w:r>
    </w:p>
    <w:p>
      <w:pPr>
        <w:pStyle w:val="ListParagraph"/>
        <w:numPr>
          <w:ilvl w:val="0"/>
          <w:numId w:val="3"/>
        </w:numPr>
        <w:spacing w:after="100"/>
      </w:pPr>
      <w:r>
        <w:rPr>
          <w:color w:val="1F2937"/>
          <w:sz w:val="22"/>
          <w:szCs w:val="22"/>
        </w:rPr>
        <w:t xml:space="preserve">Bijlage CV: het sectorkader over meldplichten en de termijn vanaf redelijk vermoeden</w:t>
      </w:r>
    </w:p>
    <w:p>
      <w:pPr>
        <w:pStyle w:val="ListParagraph"/>
        <w:numPr>
          <w:ilvl w:val="0"/>
          <w:numId w:val="3"/>
        </w:numPr>
        <w:spacing w:after="100"/>
      </w:pPr>
      <w:r>
        <w:rPr>
          <w:b/>
          <w:bCs/>
          <w:color w:val="1F2937"/>
          <w:sz w:val="22"/>
          <w:szCs w:val="22"/>
        </w:rPr>
        <w:t xml:space="preserve">Bijlage CW: drie concepttekstversies (vaag, stellig, precies)</w:t>
      </w:r>
      <w:r>
        <w:rPr>
          <w:color w:val="1F2937"/>
          <w:sz w:val="22"/>
          <w:szCs w:val="22"/>
        </w:rPr>
        <w:t xml:space="preserve"> — het materiaal voor opdracht 27.2e</w:t>
      </w:r>
    </w:p>
    <w:p>
      <w:pPr>
        <w:pStyle w:val="ListParagraph"/>
        <w:numPr>
          <w:ilvl w:val="0"/>
          <w:numId w:val="3"/>
        </w:numPr>
        <w:spacing w:after="100"/>
      </w:pPr>
      <w:r>
        <w:rPr>
          <w:color w:val="1F2937"/>
          <w:sz w:val="22"/>
          <w:szCs w:val="22"/>
        </w:rPr>
        <w:t xml:space="preserve">Bijlage CX: vier sectorcasussen met afloop en de rol van de architect</w:t>
      </w:r>
    </w:p>
    <w:p>
      <w:pPr>
        <w:pStyle w:val="ListParagraph"/>
        <w:numPr>
          <w:ilvl w:val="0"/>
          <w:numId w:val="3"/>
        </w:numPr>
        <w:spacing w:after="100"/>
      </w:pPr>
      <w:r>
        <w:rPr>
          <w:b/>
          <w:bCs/>
          <w:color w:val="1F2937"/>
          <w:sz w:val="22"/>
          <w:szCs w:val="22"/>
        </w:rPr>
        <w:t xml:space="preserve">Bijlage CY: rolkaarten voor het rollenspel,</w:t>
      </w:r>
      <w:r>
        <w:rPr>
          <w:color w:val="1F2937"/>
          <w:sz w:val="22"/>
          <w:szCs w:val="22"/>
        </w:rPr>
        <w:t xml:space="preserve"> met het directielid geïnstrueerd als bezorgd, niet kwaadaardig</w:t>
      </w:r>
    </w:p>
    <w:p>
      <w:pPr>
        <w:pStyle w:val="ListParagraph"/>
        <w:numPr>
          <w:ilvl w:val="0"/>
          <w:numId w:val="3"/>
        </w:numPr>
        <w:spacing w:after="100"/>
      </w:pPr>
      <w:r>
        <w:rPr>
          <w:color w:val="1F2937"/>
          <w:sz w:val="22"/>
          <w:szCs w:val="22"/>
        </w:rPr>
        <w:t xml:space="preserve">Een moment van stilte ingepland na de zwaarste slides (16, 20, 25, 27) — forceer geen doorloop</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28 is de masterproef: een simulatie van het examinatoreninterview, over twee dagdelen. De brug: u hebt nu het volledige traject doorlopen — van een post-mortem in niveau 1, via de bouw in niveau 2, naar de zwaarste bestuurlijke en ethische situaties in niveau 3. Wat resteert is de vraag of u dit alles kunt uitleggen aan twee mensen die u niet kennen, die kritisch doorvragen, en die niet geïnteresseerd zijn in of uw systeem goed was — alleen in of u kunt verantwoorden waarom het is zoals het is.</w:t>
      </w:r>
    </w:p>
    <w:p>
      <w:pPr>
        <w:pBdr>
          <w:top w:val="single" w:color="E5E7EB" w:sz="4" w:space="8"/>
        </w:pBdr>
        <w:spacing w:before="400"/>
        <w:jc w:val="center"/>
      </w:pPr>
      <w:r>
        <w:rPr>
          <w:i/>
          <w:iCs/>
          <w:color w:val="6B7280"/>
          <w:sz w:val="17"/>
          <w:szCs w:val="17"/>
        </w:rPr>
        <w:t xml:space="preserve">Ductus B.V. · Cursus Softwarearchitectuur · Niveau 3, deel 27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2026-08-17T19:57:39.640Z</dcterms:created>
  <dcterms:modified xsi:type="dcterms:W3CDTF">2026-08-17T19:57:39.641Z</dcterms:modified>
</cp:coreProperties>
</file>

<file path=docProps/custom.xml><?xml version="1.0" encoding="utf-8"?>
<Properties xmlns="http://schemas.openxmlformats.org/officeDocument/2006/custom-properties" xmlns:vt="http://schemas.openxmlformats.org/officeDocument/2006/docPropsVTypes"/>
</file>