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27 — Wanneer de fout al twaalf jaar oud is</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3 (CPSA-A certificeringstraject) · Deel 27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Niveau 3 begeleidt het CPSA-A-certificeringstraject. Deze cursus is geen geaccrediteerde training en levert geen credit points; raadpleeg isaqb.org voor de actuele voorwaarden.</w:t>
            </w:r>
          </w:p>
          <w:p>
            <w:pPr>
              <w:spacing w:before="120"/>
            </w:pPr>
            <w:r>
              <w:rPr>
                <w:b/>
                <w:bCs/>
                <w:i/>
                <w:iCs/>
                <w:color w:val="1F2937"/>
                <w:sz w:val="21"/>
                <w:szCs w:val="21"/>
              </w:rPr>
              <w:t xml:space="preserve">Twee sporen. </w:t>
            </w:r>
            <w:r>
              <w:rPr>
                <w:i/>
                <w:iCs/>
                <w:color w:val="1F2937"/>
                <w:sz w:val="21"/>
                <w:szCs w:val="21"/>
              </w:rPr>
              <w:t xml:space="preserve">Het casusspoor behandelt de ontdekking dat het oude systeem van fonds B al twaalf jaar een berekeningsfout bevat. Het eigen spoor betreft uw certificeringsopdracht: zoek of er in uw eigen ervaring een vergelijkbare ontdekking is geweest.</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het onderscheid maken tussen een technische fout, een compliancekwestie en een bestuurlijke crisis, en weten dat u meestal alle drie tegelijk hebt;</w:t>
      </w:r>
    </w:p>
    <w:p>
      <w:pPr>
        <w:pStyle w:val="ListParagraph"/>
        <w:numPr>
          <w:ilvl w:val="0"/>
          <w:numId w:val="2"/>
        </w:numPr>
        <w:spacing w:after="120"/>
      </w:pPr>
      <w:r>
        <w:rPr>
          <w:color w:val="1F2937"/>
          <w:sz w:val="22"/>
          <w:szCs w:val="22"/>
        </w:rPr>
        <w:t xml:space="preserve">de omvang van een historische fout vaststellen zonder de bevindingstermijn te verspillen;</w:t>
      </w:r>
    </w:p>
    <w:p>
      <w:pPr>
        <w:pStyle w:val="ListParagraph"/>
        <w:numPr>
          <w:ilvl w:val="0"/>
          <w:numId w:val="2"/>
        </w:numPr>
        <w:spacing w:after="120"/>
      </w:pPr>
      <w:r>
        <w:rPr>
          <w:color w:val="1F2937"/>
          <w:sz w:val="22"/>
          <w:szCs w:val="22"/>
        </w:rPr>
        <w:t xml:space="preserve">bepalen wie u wanneer informeert, met de spanning tussen snelheid en zorgvuldigheid;</w:t>
      </w:r>
    </w:p>
    <w:p>
      <w:pPr>
        <w:pStyle w:val="ListParagraph"/>
        <w:numPr>
          <w:ilvl w:val="0"/>
          <w:numId w:val="2"/>
        </w:numPr>
        <w:spacing w:after="120"/>
      </w:pPr>
      <w:r>
        <w:rPr>
          <w:color w:val="1F2937"/>
          <w:sz w:val="22"/>
          <w:szCs w:val="22"/>
        </w:rPr>
        <w:t xml:space="preserve">het onderscheid tussen technische schuld en een fout die hersteld moet worden scherp toepassen op een historisch geval;</w:t>
      </w:r>
    </w:p>
    <w:p>
      <w:pPr>
        <w:pStyle w:val="ListParagraph"/>
        <w:numPr>
          <w:ilvl w:val="0"/>
          <w:numId w:val="2"/>
        </w:numPr>
        <w:spacing w:after="120"/>
      </w:pPr>
      <w:r>
        <w:rPr>
          <w:color w:val="1F2937"/>
          <w:sz w:val="22"/>
          <w:szCs w:val="22"/>
        </w:rPr>
        <w:t xml:space="preserve">omgaan met de druk om de zaak stil te houden of te bagatelliseren;</w:t>
      </w:r>
    </w:p>
    <w:p>
      <w:pPr>
        <w:pStyle w:val="ListParagraph"/>
        <w:numPr>
          <w:ilvl w:val="0"/>
          <w:numId w:val="2"/>
        </w:numPr>
        <w:spacing w:after="120"/>
      </w:pPr>
      <w:r>
        <w:rPr>
          <w:color w:val="1F2937"/>
          <w:sz w:val="22"/>
          <w:szCs w:val="22"/>
        </w:rPr>
        <w:t xml:space="preserve">uw eigen rol in dit soort situaties begrenzen en tegelijk volledig vervullen.</w:t>
      </w:r>
    </w:p>
    <w:p>
      <w:pPr>
        <w:pStyle w:val="Heading1"/>
        <w:pBdr>
          <w:bottom w:val="single" w:color="E5E7EB" w:sz="6" w:space="6"/>
        </w:pBdr>
        <w:spacing w:after="180" w:before="380"/>
      </w:pPr>
      <w:r>
        <w:rPr>
          <w:b/>
          <w:bCs/>
          <w:color w:val="1F3A5F"/>
          <w:sz w:val="30"/>
          <w:szCs w:val="30"/>
        </w:rPr>
        <w:t xml:space="preserve">27.1 De aanleiding</w:t>
      </w:r>
    </w:p>
    <w:p>
      <w:pPr>
        <w:spacing w:after="160" w:line="276"/>
      </w:pPr>
      <w:r>
        <w:rPr>
          <w:color w:val="1F2937"/>
          <w:sz w:val="22"/>
          <w:szCs w:val="22"/>
        </w:rPr>
        <w:t xml:space="preserve">Uit deel 24, opdracht 24.5e: de parallelle berekening tussen oud en nieuw systeem toonde bij 200 dossiers een verschil. Nadere analyse wijst uit dat het oude systeem de fout bevat, niet het nieuwe.</w:t>
      </w:r>
    </w:p>
    <w:p>
      <w:pPr>
        <w:spacing w:after="160" w:line="276"/>
      </w:pPr>
      <w:r>
        <w:rPr>
          <w:b/>
          <w:bCs/>
          <w:color w:val="1F2937"/>
          <w:sz w:val="22"/>
          <w:szCs w:val="22"/>
        </w:rPr>
        <w:t xml:space="preserve">Wat er verder blijkt bij doorrekenen:</w:t>
      </w:r>
      <w:r>
        <w:rPr>
          <w:color w:val="1F2937"/>
          <w:sz w:val="22"/>
          <w:szCs w:val="22"/>
        </w:rPr>
        <w:t xml:space="preserve"/>
      </w:r>
    </w:p>
    <w:p>
      <w:pPr>
        <w:pStyle w:val="ListParagraph"/>
        <w:numPr>
          <w:ilvl w:val="0"/>
          <w:numId w:val="3"/>
        </w:numPr>
        <w:spacing w:after="100"/>
      </w:pPr>
      <w:r>
        <w:rPr>
          <w:b/>
          <w:bCs/>
          <w:color w:val="1F2937"/>
          <w:sz w:val="22"/>
          <w:szCs w:val="22"/>
        </w:rPr>
        <w:t xml:space="preserve">De fout zit in de manier waarop het oude systeem omgaat met een specifieke combinatie:</w:t>
      </w:r>
      <w:r>
        <w:rPr>
          <w:color w:val="1F2937"/>
          <w:sz w:val="22"/>
          <w:szCs w:val="22"/>
        </w:rPr>
        <w:t xml:space="preserve"> een deeltijdse dienstbetrekking gecombineerd met een waardeoverdracht vóór een bepaalde datum.</w:t>
      </w:r>
    </w:p>
    <w:p>
      <w:pPr>
        <w:pStyle w:val="ListParagraph"/>
        <w:numPr>
          <w:ilvl w:val="0"/>
          <w:numId w:val="3"/>
        </w:numPr>
        <w:spacing w:after="100"/>
      </w:pPr>
      <w:r>
        <w:rPr>
          <w:b/>
          <w:bCs/>
          <w:color w:val="1F2937"/>
          <w:sz w:val="22"/>
          <w:szCs w:val="22"/>
        </w:rPr>
        <w:t xml:space="preserve">Die combinatie is niet zeldzaam.</w:t>
      </w:r>
      <w:r>
        <w:rPr>
          <w:color w:val="1F2937"/>
          <w:sz w:val="22"/>
          <w:szCs w:val="22"/>
        </w:rPr>
        <w:t xml:space="preserve"> Doorrekening op de volledige populatie van fonds B geeft een geschat aantal van rond de 600 dossiers, verspreid over twaalf jaar.</w:t>
      </w:r>
    </w:p>
    <w:p>
      <w:pPr>
        <w:pStyle w:val="ListParagraph"/>
        <w:numPr>
          <w:ilvl w:val="0"/>
          <w:numId w:val="3"/>
        </w:numPr>
        <w:spacing w:after="100"/>
      </w:pPr>
      <w:r>
        <w:rPr>
          <w:b/>
          <w:bCs/>
          <w:color w:val="1F2937"/>
          <w:sz w:val="22"/>
          <w:szCs w:val="22"/>
        </w:rPr>
        <w:t xml:space="preserve">Het effect is niet in één richting:</w:t>
      </w:r>
      <w:r>
        <w:rPr>
          <w:color w:val="1F2937"/>
          <w:sz w:val="22"/>
          <w:szCs w:val="22"/>
        </w:rPr>
        <w:t xml:space="preserve"> bij het merendeel is er te weinig pensioen opgebouwd; bij een kleiner deel te veel.</w:t>
      </w:r>
    </w:p>
    <w:p>
      <w:pPr>
        <w:pStyle w:val="ListParagraph"/>
        <w:numPr>
          <w:ilvl w:val="0"/>
          <w:numId w:val="3"/>
        </w:numPr>
        <w:spacing w:after="100"/>
      </w:pPr>
      <w:r>
        <w:rPr>
          <w:b/>
          <w:bCs/>
          <w:color w:val="1F2937"/>
          <w:sz w:val="22"/>
          <w:szCs w:val="22"/>
        </w:rPr>
        <w:t xml:space="preserve">Sommige betrokkenen zijn al gepensioneerd.</w:t>
      </w:r>
      <w:r>
        <w:rPr>
          <w:color w:val="1F2937"/>
          <w:sz w:val="22"/>
          <w:szCs w:val="22"/>
        </w:rPr>
        <w:t xml:space="preserve"> Enkelen zijn overleden; hun nabestaanden ontvangen mogelijk een verkeerd bedrag.</w:t>
      </w:r>
    </w:p>
    <w:p>
      <w:pPr>
        <w:spacing w:after="160" w:line="276"/>
      </w:pPr>
      <w:r>
        <w:rPr>
          <w:b/>
          <w:bCs/>
          <w:color w:val="1F2937"/>
          <w:sz w:val="22"/>
          <w:szCs w:val="22"/>
        </w:rPr>
        <w:t xml:space="preserve">Dit is niet langer een migratievraag.</w:t>
      </w:r>
      <w:r>
        <w:rPr>
          <w:color w:val="1F2937"/>
          <w:sz w:val="22"/>
          <w:szCs w:val="22"/>
        </w:rPr>
        <w:t xml:space="preserve"> Het nieuwe systeem doet niets fout — het legt een fout bloot die al twaalf jaar bestaat, van vóór de migratie, van vóór het Mutatieplatform, van vóór de architect ooit bij Meridiaan begon.</w:t>
      </w:r>
    </w:p>
    <w:p>
      <w:pPr>
        <w:spacing w:after="160" w:line="276"/>
      </w:pPr>
      <w:r>
        <w:rPr>
          <w:b/>
          <w:bCs/>
          <w:color w:val="1F2937"/>
          <w:sz w:val="22"/>
          <w:szCs w:val="22"/>
        </w:rPr>
        <w:t xml:space="preserve">Waarom dit deel bestaat.</w:t>
      </w:r>
      <w:r>
        <w:rPr>
          <w:color w:val="1F2937"/>
          <w:sz w:val="22"/>
          <w:szCs w:val="22"/>
        </w:rPr>
        <w:t xml:space="preserve"> Dit is het zwaarste scenario van de hele cursus, en het is bewust als laatste inhoudelijke deel geplaatst. Alles uit niveau 1 tot en met deel 26 komt hier samen: reconstructie en aantoonbaarheid (deel 5, 14), het onderscheid ontwerpfout tegenover gerealiseerd risico (deel 9), meldingsgedrag (deel 26), en de rolgrens die door de hele cursus terugkeert.</w:t>
      </w:r>
    </w:p>
    <w:p>
      <w:pPr>
        <w:pStyle w:val="Heading1"/>
        <w:pBdr>
          <w:bottom w:val="single" w:color="E5E7EB" w:sz="6" w:space="6"/>
        </w:pBdr>
        <w:spacing w:after="180" w:before="380"/>
      </w:pPr>
      <w:r>
        <w:rPr>
          <w:b/>
          <w:bCs/>
          <w:color w:val="1F3A5F"/>
          <w:sz w:val="30"/>
          <w:szCs w:val="30"/>
        </w:rPr>
        <w:t xml:space="preserve">27.2 Drie kwesties tegelijk</w:t>
      </w:r>
    </w:p>
    <w:p>
      <w:pPr>
        <w:spacing w:after="160" w:line="276"/>
      </w:pPr>
      <w:r>
        <w:rPr>
          <w:color w:val="1F2937"/>
          <w:sz w:val="22"/>
          <w:szCs w:val="22"/>
        </w:rPr>
        <w:t xml:space="preserve">De eerste fout die architecten maken bij dit soort ontdekkingen, is haar als één probleem behandelen. Het zijn er drie, met verschillende eigenaren en verschillende tempo's.</w:t>
      </w:r>
    </w:p>
    <w:p>
      <w:pPr>
        <w:spacing w:after="160" w:line="276"/>
      </w:pPr>
      <w:r>
        <w:rPr>
          <w:b/>
          <w:bCs/>
          <w:color w:val="1F2937"/>
          <w:sz w:val="22"/>
          <w:szCs w:val="22"/>
        </w:rPr>
        <w:t xml:space="preserve">De technische kwestie.</w:t>
      </w:r>
      <w:r>
        <w:rPr>
          <w:color w:val="1F2937"/>
          <w:sz w:val="22"/>
          <w:szCs w:val="22"/>
        </w:rPr>
        <w:t xml:space="preserve"> Wat is de fout precies, hoe vaak komt zij voor, en hoe herstelt u haar in het systeem zodat zij niet opnieuw ontstaat. Dit is architectenwerk en het is het makkelijkste van de drie.</w:t>
      </w:r>
    </w:p>
    <w:p>
      <w:pPr>
        <w:spacing w:after="160" w:line="276"/>
      </w:pPr>
      <w:r>
        <w:rPr>
          <w:b/>
          <w:bCs/>
          <w:color w:val="1F2937"/>
          <w:sz w:val="22"/>
          <w:szCs w:val="22"/>
        </w:rPr>
        <w:t xml:space="preserve">De compliancekwestie.</w:t>
      </w:r>
      <w:r>
        <w:rPr>
          <w:color w:val="1F2937"/>
          <w:sz w:val="22"/>
          <w:szCs w:val="22"/>
        </w:rPr>
        <w:t xml:space="preserve"> Is hier sprake van een meldplicht, aan wie, binnen welke termijn, en wat zijn de wettelijke stappen voor herstel richting gedupeerden. Dit is niet aan de architect — het is aan compliance, juridische zaken, mogelijk de toezichthouder zelf.</w:t>
      </w:r>
    </w:p>
    <w:p>
      <w:pPr>
        <w:spacing w:after="160" w:line="276"/>
      </w:pPr>
      <w:r>
        <w:rPr>
          <w:b/>
          <w:bCs/>
          <w:color w:val="1F2937"/>
          <w:sz w:val="22"/>
          <w:szCs w:val="22"/>
        </w:rPr>
        <w:t xml:space="preserve">De bestuurlijke kwestie.</w:t>
      </w:r>
      <w:r>
        <w:rPr>
          <w:color w:val="1F2937"/>
          <w:sz w:val="22"/>
          <w:szCs w:val="22"/>
        </w:rPr>
        <w:t xml:space="preserve"> Wat kost herstel, wie communiceert met wie, hoe wordt hiermee omgegaan in de relatie met fonds B, en wat betekent dit voor de reputatie van Meridiaan. Dit is aan de directie en het bestuur.</w:t>
      </w:r>
    </w:p>
    <w:p>
      <w:pPr>
        <w:spacing w:after="160" w:line="276"/>
      </w:pPr>
      <w:r>
        <w:rPr>
          <w:b/>
          <w:bCs/>
          <w:color w:val="1F2937"/>
          <w:sz w:val="22"/>
          <w:szCs w:val="22"/>
        </w:rPr>
        <w:t xml:space="preserve">Waarom dit onderscheid ertoe doet: </w:t>
      </w:r>
      <w:r>
        <w:rPr>
          <w:color w:val="1F2937"/>
          <w:sz w:val="22"/>
          <w:szCs w:val="22"/>
        </w:rPr>
        <w:t xml:space="preserve">de drie kwesties hebben verschillende tempo's, en het is een fout om ze aan elkaar te binden. De technische analyse kan binnen dagen een eerste antwoord geven; de compliancebeoordeling vraagt vaak weken; de bestuurlijke afweging over communicatie kan nog langer duren. Wachten met de technische analyse tot de andere twee klaar zijn, is precies verkeerd om — de technische feiten zijn wat de andere twee nodig hebben om te kunnen beginnen.</w:t>
      </w:r>
    </w:p>
    <w:p>
      <w:pPr>
        <w:spacing w:after="160" w:line="276"/>
      </w:pPr>
      <w:r>
        <w:rPr>
          <w:b/>
          <w:bCs/>
          <w:color w:val="1F2937"/>
          <w:sz w:val="22"/>
          <w:szCs w:val="22"/>
        </w:rPr>
        <w:t xml:space="preserve">De rol van de architect raakt alle drie, maar is niet gelijk in alle drie.</w:t>
      </w:r>
      <w:r>
        <w:rPr>
          <w:color w:val="1F2937"/>
          <w:sz w:val="22"/>
          <w:szCs w:val="22"/>
        </w:rPr>
        <w:t xml:space="preserve"> Bij de eerste is hij de trekker. Bij de tweede levert hij feiten en geen oordeel. Bij de derde levert hij niets dan desgevraagd de technische gevolgen van een bestuurlijke keuze.</w:t>
      </w:r>
    </w:p>
    <w:p>
      <w:pPr>
        <w:pStyle w:val="Heading1"/>
        <w:pBdr>
          <w:bottom w:val="single" w:color="E5E7EB" w:sz="6" w:space="6"/>
        </w:pBdr>
        <w:spacing w:after="180" w:before="380"/>
      </w:pPr>
      <w:r>
        <w:rPr>
          <w:b/>
          <w:bCs/>
          <w:color w:val="1F3A5F"/>
          <w:sz w:val="30"/>
          <w:szCs w:val="30"/>
        </w:rPr>
        <w:t xml:space="preserve">27.3 De omvang vaststellen zonder de bevindingstermijn te verspillen</w:t>
      </w:r>
    </w:p>
    <w:p>
      <w:pPr>
        <w:spacing w:after="160" w:line="276"/>
      </w:pPr>
      <w:r>
        <w:rPr>
          <w:color w:val="1F2937"/>
          <w:sz w:val="22"/>
          <w:szCs w:val="22"/>
        </w:rPr>
        <w:t xml:space="preserve">Er is een meldplichttermijn die begint te lopen zodra de organisatie "weet of had moeten weten". Dat zet druk op de fase waarin u nog niet weet hoe groot het probleem is.</w:t>
      </w:r>
    </w:p>
    <w:p>
      <w:pPr>
        <w:spacing w:after="160" w:line="276"/>
      </w:pPr>
      <w:r>
        <w:rPr>
          <w:b/>
          <w:bCs/>
          <w:color w:val="1F2937"/>
          <w:sz w:val="22"/>
          <w:szCs w:val="22"/>
        </w:rPr>
        <w:t xml:space="preserve">De valkuil: wachten met melden tot de volledige omvang bekend is.</w:t>
      </w:r>
      <w:r>
        <w:rPr>
          <w:color w:val="1F2937"/>
          <w:sz w:val="22"/>
          <w:szCs w:val="22"/>
        </w:rPr>
        <w:t xml:space="preserve"> Dat voelt zorgvuldig en het is vaak fout — de termijn loopt vanaf het moment van redelijk vermoeden, niet vanaf volledige zekerheid.</w:t>
      </w:r>
    </w:p>
    <w:p>
      <w:pPr>
        <w:spacing w:after="160" w:line="276"/>
      </w:pPr>
      <w:r>
        <w:rPr>
          <w:b/>
          <w:bCs/>
          <w:color w:val="1F2937"/>
          <w:sz w:val="22"/>
          <w:szCs w:val="22"/>
        </w:rPr>
        <w:t xml:space="preserve">Wat u wel kunt en moet doen binnen de eerste dagen:</w:t>
      </w:r>
      <w:r>
        <w:rPr>
          <w:color w:val="1F2937"/>
          <w:sz w:val="22"/>
          <w:szCs w:val="22"/>
        </w:rPr>
        <w:t xml:space="preserve"/>
      </w:r>
    </w:p>
    <w:p>
      <w:pPr>
        <w:pStyle w:val="ListParagraph"/>
        <w:numPr>
          <w:ilvl w:val="0"/>
          <w:numId w:val="4"/>
        </w:numPr>
        <w:spacing w:after="120"/>
      </w:pPr>
      <w:r>
        <w:rPr>
          <w:b/>
          <w:bCs/>
          <w:color w:val="1F2937"/>
          <w:sz w:val="22"/>
          <w:szCs w:val="22"/>
        </w:rPr>
        <w:t xml:space="preserve">Bevestig dat het patroon echt is.</w:t>
      </w:r>
      <w:r>
        <w:rPr>
          <w:color w:val="1F2937"/>
          <w:sz w:val="22"/>
          <w:szCs w:val="22"/>
        </w:rPr>
        <w:t xml:space="preserve"> Niet aan de hand van 200 dossiers alleen — reken een aanvullende steekproef door om uit te sluiten dat het toeval is of een fout in uw eigen vergelijking.</w:t>
      </w:r>
    </w:p>
    <w:p>
      <w:pPr>
        <w:pStyle w:val="ListParagraph"/>
        <w:numPr>
          <w:ilvl w:val="0"/>
          <w:numId w:val="4"/>
        </w:numPr>
        <w:spacing w:after="120"/>
      </w:pPr>
      <w:r>
        <w:rPr>
          <w:b/>
          <w:bCs/>
          <w:color w:val="1F2937"/>
          <w:sz w:val="22"/>
          <w:szCs w:val="22"/>
        </w:rPr>
        <w:t xml:space="preserve">Maak een eerste, voorzichtige schatting van de omvang,</w:t>
      </w:r>
      <w:r>
        <w:rPr>
          <w:color w:val="1F2937"/>
          <w:sz w:val="22"/>
          <w:szCs w:val="22"/>
        </w:rPr>
        <w:t xml:space="preserve"> met een bandbreedte in plaats van een precies getal. "Naar schatting 400 tot 800 dossiers, gebaseerd op een steekproefextrapolatie" is bruikbaar en eerlijk over de onzekerheid.</w:t>
      </w:r>
    </w:p>
    <w:p>
      <w:pPr>
        <w:pStyle w:val="ListParagraph"/>
        <w:numPr>
          <w:ilvl w:val="0"/>
          <w:numId w:val="4"/>
        </w:numPr>
        <w:spacing w:after="120"/>
      </w:pPr>
      <w:r>
        <w:rPr>
          <w:b/>
          <w:bCs/>
          <w:color w:val="1F2937"/>
          <w:sz w:val="22"/>
          <w:szCs w:val="22"/>
        </w:rPr>
        <w:t xml:space="preserve">Bepaal het mechanisme,</w:t>
      </w:r>
      <w:r>
        <w:rPr>
          <w:color w:val="1F2937"/>
          <w:sz w:val="22"/>
          <w:szCs w:val="22"/>
        </w:rPr>
        <w:t xml:space="preserve"> niet elk individueel geval. Wat de fout veroorzaakt — de combinatie deeltijd plus waardeoverdracht — is belangrijker in dit stadium dan de exacte lijst namen.</w:t>
      </w:r>
    </w:p>
    <w:p>
      <w:pPr>
        <w:pStyle w:val="ListParagraph"/>
        <w:numPr>
          <w:ilvl w:val="0"/>
          <w:numId w:val="4"/>
        </w:numPr>
        <w:spacing w:after="120"/>
      </w:pPr>
      <w:r>
        <w:rPr>
          <w:b/>
          <w:bCs/>
          <w:color w:val="1F2937"/>
          <w:sz w:val="22"/>
          <w:szCs w:val="22"/>
        </w:rPr>
        <w:t xml:space="preserve">Meld met deze voorlopige informatie,</w:t>
      </w:r>
      <w:r>
        <w:rPr>
          <w:color w:val="1F2937"/>
          <w:sz w:val="22"/>
          <w:szCs w:val="22"/>
        </w:rPr>
        <w:t xml:space="preserve"> expliciet gemarkeerd als voorlopig, met een vervolgtermijn voor de volledige analyse.</w:t>
      </w:r>
    </w:p>
    <w:p>
      <w:pPr>
        <w:spacing w:after="160" w:line="276"/>
      </w:pPr>
      <w:r>
        <w:rPr>
          <w:b/>
          <w:bCs/>
          <w:color w:val="1F2937"/>
          <w:sz w:val="22"/>
          <w:szCs w:val="22"/>
        </w:rPr>
        <w:t xml:space="preserve">Wat u niet doet: </w:t>
      </w:r>
      <w:r>
        <w:rPr>
          <w:color w:val="1F2937"/>
          <w:sz w:val="22"/>
          <w:szCs w:val="22"/>
        </w:rPr>
        <w:t xml:space="preserve">de volledige lijst van 600 dossiers willen hebben voordat u meldt. Dat kost weken tot maanden, en die tijd gaat af van de termijn die u had om te reageren nadat u het wist.</w:t>
      </w:r>
    </w:p>
    <w:p>
      <w:pPr>
        <w:spacing w:after="160" w:line="276"/>
      </w:pPr>
      <w:r>
        <w:rPr>
          <w:b/>
          <w:bCs/>
          <w:color w:val="1F2937"/>
          <w:sz w:val="22"/>
          <w:szCs w:val="22"/>
        </w:rPr>
        <w:t xml:space="preserve">De formulering die werkt: </w:t>
      </w:r>
      <w:r>
        <w:rPr>
          <w:color w:val="1F2937"/>
          <w:sz w:val="22"/>
          <w:szCs w:val="22"/>
        </w:rPr>
        <w:t xml:space="preserve">"Wij hebben een patroon geïdentificeerd met een geschatte omvang van 400 tot 800 dossiers. Wij zijn de volledige populatie aan het doorrekenen en verwachten binnen [x] weken een definitieve lijst. Ondertussen informeren wij u nu, omdat de aard van de fout — financiële gevolgen voor individuele deelnemers over een periode van twaalf jaar — een vroege melding rechtvaardigt boven een volledige maar late."</w:t>
      </w:r>
    </w:p>
    <w:p>
      <w:pPr>
        <w:pStyle w:val="Heading1"/>
        <w:pBdr>
          <w:bottom w:val="single" w:color="E5E7EB" w:sz="6" w:space="6"/>
        </w:pBdr>
        <w:spacing w:after="180" w:before="380"/>
      </w:pPr>
      <w:r>
        <w:rPr>
          <w:b/>
          <w:bCs/>
          <w:color w:val="1F3A5F"/>
          <w:sz w:val="30"/>
          <w:szCs w:val="30"/>
        </w:rPr>
        <w:t xml:space="preserve">27.4 Ontwerpfout of gerealiseerd risico — op een historisch geval</w:t>
      </w:r>
    </w:p>
    <w:p>
      <w:pPr>
        <w:spacing w:after="160" w:line="276"/>
      </w:pPr>
      <w:r>
        <w:rPr>
          <w:color w:val="1F2937"/>
          <w:sz w:val="22"/>
          <w:szCs w:val="22"/>
        </w:rPr>
        <w:t xml:space="preserve">Uit deel 9: het onderscheid tussen een ontwerpfout (met de kennis van toen beter mogelijk) en een gerealiseerd risico (verdedigbaar toen, uitgekomen nu). Bij een fout van twaalf jaar oud is die vraag zwaarder te beantwoorden en belangrijker om goed te doen.</w:t>
      </w:r>
    </w:p>
    <w:p>
      <w:pPr>
        <w:spacing w:after="160" w:line="276"/>
      </w:pPr>
      <w:r>
        <w:rPr>
          <w:b/>
          <w:bCs/>
          <w:color w:val="1F2937"/>
          <w:sz w:val="22"/>
          <w:szCs w:val="22"/>
        </w:rPr>
        <w:t xml:space="preserve">De vraag die u moet stellen: </w:t>
      </w:r>
      <w:r>
        <w:rPr>
          <w:color w:val="1F2937"/>
          <w:sz w:val="22"/>
          <w:szCs w:val="22"/>
        </w:rPr>
        <w:t xml:space="preserve">was deze fout, met de kennis en de middelen van twaalf jaar geleden, te voorkomen geweest tegen redelijke inspanning?</w:t>
      </w:r>
    </w:p>
    <w:p>
      <w:pPr>
        <w:spacing w:after="160" w:line="276"/>
      </w:pPr>
      <w:r>
        <w:rPr>
          <w:b/>
          <w:bCs/>
          <w:color w:val="1F2937"/>
          <w:sz w:val="22"/>
          <w:szCs w:val="22"/>
        </w:rPr>
        <w:t xml:space="preserve">Dat is geen technische vraag alleen.</w:t>
      </w:r>
      <w:r>
        <w:rPr>
          <w:color w:val="1F2937"/>
          <w:sz w:val="22"/>
          <w:szCs w:val="22"/>
        </w:rPr>
        <w:t xml:space="preserve"> Het antwoord hangt af van wat er toen aan testpraktijk gangbaar was, wat de complexiteit van de combinatie deeltijd-plus-waardeoverdracht toen was, en of de fout al eerder was gesignaleerd en genegeerd.</w:t>
      </w:r>
    </w:p>
    <w:p>
      <w:pPr>
        <w:spacing w:after="160" w:line="276"/>
      </w:pPr>
      <w:r>
        <w:rPr>
          <w:b/>
          <w:bCs/>
          <w:color w:val="1F2937"/>
          <w:sz w:val="22"/>
          <w:szCs w:val="22"/>
        </w:rPr>
        <w:t xml:space="preserve">Waarom dit onderscheid hier zwaarder weegt dan in deel 9: </w:t>
      </w:r>
      <w:r>
        <w:rPr>
          <w:color w:val="1F2937"/>
          <w:sz w:val="22"/>
          <w:szCs w:val="22"/>
        </w:rPr>
        <w:t xml:space="preserve">het bepaalt niet alleen welke maatregel volgt (betere beslisvorming versus betere risicobeheersing), maar ook de toon van de externe communicatie. Een fout die met redelijke zorgvuldigheid had kunnen worden voorkomen, vraagt een andere erkenning dan een fout die pas met de kennis en middelen van vandaag zichtbaar wordt.</w:t>
      </w:r>
    </w:p>
    <w:p>
      <w:pPr>
        <w:spacing w:after="160" w:line="276"/>
      </w:pPr>
      <w:r>
        <w:rPr>
          <w:b/>
          <w:bCs/>
          <w:color w:val="1F2937"/>
          <w:sz w:val="22"/>
          <w:szCs w:val="22"/>
        </w:rPr>
        <w:t xml:space="preserve">Wat de architect hier niet doet: </w:t>
      </w:r>
      <w:r>
        <w:rPr>
          <w:color w:val="1F2937"/>
          <w:sz w:val="22"/>
          <w:szCs w:val="22"/>
        </w:rPr>
        <w:t xml:space="preserve">dit oordeel zelf definitief vellen. Hij levert de technische reconstructie — wat was toen bekend, wat was toen gangbare praktijk, was het eerder gesignaleerd — en laat het oordeel over "redelijke inspanning" aan compliance en, waar nodig, aan juridisch advies.</w:t>
      </w:r>
    </w:p>
    <w:p>
      <w:pPr>
        <w:spacing w:after="160" w:line="276"/>
      </w:pPr>
      <w:r>
        <w:rPr>
          <w:b/>
          <w:bCs/>
          <w:color w:val="1F2937"/>
          <w:sz w:val="22"/>
          <w:szCs w:val="22"/>
        </w:rPr>
        <w:t xml:space="preserve">Wat de architect wel doet: niet meewerken aan het verkleinen van de fout in de beschrijving.</w:t>
      </w:r>
      <w:r>
        <w:rPr>
          <w:color w:val="1F2937"/>
          <w:sz w:val="22"/>
          <w:szCs w:val="22"/>
        </w:rPr>
        <w:t xml:space="preserve"> Als bij reconstructie blijkt dat de fout twee jaar eerder al was opgemerkt in een interne test en toen als "randgeval, lage prioriteit" is weggezet, is dat een feit dat gemeld moet worden — ook als het de kwestie zwaarder maakt.</w:t>
      </w:r>
    </w:p>
    <w:p>
      <w:pPr>
        <w:pStyle w:val="Heading1"/>
        <w:pBdr>
          <w:bottom w:val="single" w:color="E5E7EB" w:sz="6" w:space="6"/>
        </w:pBdr>
        <w:spacing w:after="180" w:before="380"/>
      </w:pPr>
      <w:r>
        <w:rPr>
          <w:b/>
          <w:bCs/>
          <w:color w:val="1F3A5F"/>
          <w:sz w:val="30"/>
          <w:szCs w:val="30"/>
        </w:rPr>
        <w:t xml:space="preserve">27.5 De druk om stil te houden of te bagatelliseren</w:t>
      </w:r>
    </w:p>
    <w:p>
      <w:pPr>
        <w:spacing w:after="160" w:line="276"/>
      </w:pPr>
      <w:r>
        <w:rPr>
          <w:color w:val="1F2937"/>
          <w:sz w:val="22"/>
          <w:szCs w:val="22"/>
        </w:rPr>
        <w:t xml:space="preserve">Deze druk is zelden expliciet. Zij komt zelden in de vorm van "houd dit stil" en bijna altijd in subtielere vormen.</w:t>
      </w:r>
    </w:p>
    <w:p>
      <w:pPr>
        <w:spacing w:after="160" w:line="276"/>
      </w:pPr>
      <w:r>
        <w:rPr>
          <w:b/>
          <w:bCs/>
          <w:color w:val="1F2937"/>
          <w:sz w:val="22"/>
          <w:szCs w:val="22"/>
        </w:rPr>
        <w:t xml:space="preserve">Vormen die u zult herkennen:</w:t>
      </w:r>
      <w:r>
        <w:rPr>
          <w:color w:val="1F2937"/>
          <w:sz w:val="22"/>
          <w:szCs w:val="22"/>
        </w:rPr>
        <w:t xml:space="preserve"/>
      </w:r>
    </w:p>
    <w:p>
      <w:pPr>
        <w:pStyle w:val="ListParagraph"/>
        <w:numPr>
          <w:ilvl w:val="0"/>
          <w:numId w:val="3"/>
        </w:numPr>
        <w:spacing w:after="100"/>
      </w:pPr>
      <w:r>
        <w:rPr>
          <w:b/>
          <w:bCs/>
          <w:color w:val="1F2937"/>
          <w:sz w:val="22"/>
          <w:szCs w:val="22"/>
        </w:rPr>
        <w:t xml:space="preserve">"Laten we eerst kijken hoe groot het echt is"</w:t>
      </w:r>
      <w:r>
        <w:rPr>
          <w:color w:val="1F2937"/>
          <w:sz w:val="22"/>
          <w:szCs w:val="22"/>
        </w:rPr>
        <w:t xml:space="preserve"> — legitiem in het eerste uur, een vertragingstactiek na de eerste week.</w:t>
      </w:r>
    </w:p>
    <w:p>
      <w:pPr>
        <w:pStyle w:val="ListParagraph"/>
        <w:numPr>
          <w:ilvl w:val="0"/>
          <w:numId w:val="3"/>
        </w:numPr>
        <w:spacing w:after="100"/>
      </w:pPr>
      <w:r>
        <w:rPr>
          <w:b/>
          <w:bCs/>
          <w:color w:val="1F2937"/>
          <w:sz w:val="22"/>
          <w:szCs w:val="22"/>
        </w:rPr>
        <w:t xml:space="preserve">"We willen niet onnodig onrust creëren"</w:t>
      </w:r>
      <w:r>
        <w:rPr>
          <w:color w:val="1F2937"/>
          <w:sz w:val="22"/>
          <w:szCs w:val="22"/>
        </w:rPr>
        <w:t xml:space="preserve"> — waar in individuele gevallen, en een reden om te wachten die zelden een goede reden is voor de organisatie als geheel.</w:t>
      </w:r>
    </w:p>
    <w:p>
      <w:pPr>
        <w:pStyle w:val="ListParagraph"/>
        <w:numPr>
          <w:ilvl w:val="0"/>
          <w:numId w:val="3"/>
        </w:numPr>
        <w:spacing w:after="100"/>
      </w:pPr>
      <w:r>
        <w:rPr>
          <w:b/>
          <w:bCs/>
          <w:color w:val="1F2937"/>
          <w:sz w:val="22"/>
          <w:szCs w:val="22"/>
        </w:rPr>
        <w:t xml:space="preserve">"Dit is toch echt heel klein vergeleken met…"</w:t>
      </w:r>
      <w:r>
        <w:rPr>
          <w:color w:val="1F2937"/>
          <w:sz w:val="22"/>
          <w:szCs w:val="22"/>
        </w:rPr>
        <w:t xml:space="preserve"> — vergelijking met iets ergers verkleint niets aan de feitelijke situatie.</w:t>
      </w:r>
    </w:p>
    <w:p>
      <w:pPr>
        <w:pStyle w:val="ListParagraph"/>
        <w:numPr>
          <w:ilvl w:val="0"/>
          <w:numId w:val="3"/>
        </w:numPr>
        <w:spacing w:after="100"/>
      </w:pPr>
      <w:r>
        <w:rPr>
          <w:b/>
          <w:bCs/>
          <w:color w:val="1F2937"/>
          <w:sz w:val="22"/>
          <w:szCs w:val="22"/>
        </w:rPr>
        <w:t xml:space="preserve">"Laten we dit eerst intern oplossen voordat we het extern melden"</w:t>
      </w:r>
      <w:r>
        <w:rPr>
          <w:color w:val="1F2937"/>
          <w:sz w:val="22"/>
          <w:szCs w:val="22"/>
        </w:rPr>
        <w:t xml:space="preserve"> — bij een meldplichtige situatie is dit geen legitieme volgorde.</w:t>
      </w:r>
    </w:p>
    <w:p>
      <w:pPr>
        <w:spacing w:after="160" w:line="276"/>
      </w:pPr>
      <w:r>
        <w:rPr>
          <w:b/>
          <w:bCs/>
          <w:color w:val="1F2937"/>
          <w:sz w:val="22"/>
          <w:szCs w:val="22"/>
        </w:rPr>
        <w:t xml:space="preserve">Hoe u hiermee omgaat, gebruikt precies het instrumentarium van deel 26:</w:t>
      </w:r>
      <w:r>
        <w:rPr>
          <w:color w:val="1F2937"/>
          <w:sz w:val="22"/>
          <w:szCs w:val="22"/>
        </w:rPr>
        <w:t xml:space="preserve"/>
      </w:r>
    </w:p>
    <w:p>
      <w:pPr>
        <w:spacing w:after="160" w:line="276"/>
      </w:pPr>
      <w:r>
        <w:rPr>
          <w:b/>
          <w:bCs/>
          <w:color w:val="1F2937"/>
          <w:sz w:val="22"/>
          <w:szCs w:val="22"/>
        </w:rPr>
        <w:t xml:space="preserve">Mandaat versus invloed.</w:t>
      </w:r>
      <w:r>
        <w:rPr>
          <w:color w:val="1F2937"/>
          <w:sz w:val="22"/>
          <w:szCs w:val="22"/>
        </w:rPr>
        <w:t xml:space="preserve"> U hebt geen mandaat om te bepalen of en wanneer er gemeld wordt — dat ligt bij compliance en de directie. U hebt wel de plicht de technische feiten helder en op tijd te leveren, en te blijven wijzen op de termijndruk als u ziet dat besluitvorming vertraagt zonder goede reden.</w:t>
      </w:r>
    </w:p>
    <w:p>
      <w:pPr>
        <w:spacing w:after="160" w:line="276"/>
      </w:pPr>
      <w:r>
        <w:rPr>
          <w:b/>
          <w:bCs/>
          <w:color w:val="1F2937"/>
          <w:sz w:val="22"/>
          <w:szCs w:val="22"/>
        </w:rPr>
        <w:t xml:space="preserve">De DNB-toets uit uw eigen praktijk</w:t>
      </w:r>
      <w:r>
        <w:rPr>
          <w:color w:val="1F2937"/>
          <w:sz w:val="22"/>
          <w:szCs w:val="22"/>
        </w:rPr>
        <w:t xml:space="preserve"> — al niet met die naam ingevoerd, maar met dezelfde strekking: zou u deze interne discussie, zoals zij nu verloopt, ook zo aan de toezichthouder kunnen uitleggen? Als het antwoord nee is, is dat zelf een signaal.</w:t>
      </w:r>
    </w:p>
    <w:p>
      <w:pPr>
        <w:spacing w:after="160" w:line="276"/>
      </w:pPr>
      <w:r>
        <w:rPr>
          <w:b/>
          <w:bCs/>
          <w:color w:val="1F2937"/>
          <w:sz w:val="22"/>
          <w:szCs w:val="22"/>
        </w:rPr>
        <w:t xml:space="preserve">Wat u niet doet: </w:t>
      </w:r>
      <w:r>
        <w:rPr>
          <w:color w:val="1F2937"/>
          <w:sz w:val="22"/>
          <w:szCs w:val="22"/>
        </w:rPr>
        <w:t xml:space="preserve">zelf buiten de organisatie om de toezichthouder informeren. Dat is in vrijwel alle gevallen niet aan de architect, en het overschrijdt de rolgrens net zo hard als in de andere richting — het besluit wel te melden buiten de eigen linies om, is ook een besluit dat niet aan u is, tenzij formele klokkenluidersregelingen van toepassing zijn. Wat u wel doet, is binnen de organisatie net zo lang melden als nodig is — de "nooit zwijgen"-regel uit deel 26, hier op haar zwaarste proef.</w:t>
      </w:r>
    </w:p>
    <w:p>
      <w:pPr>
        <w:pStyle w:val="Heading1"/>
        <w:pBdr>
          <w:bottom w:val="single" w:color="E5E7EB" w:sz="6" w:space="6"/>
        </w:pBdr>
        <w:spacing w:after="180" w:before="380"/>
      </w:pPr>
      <w:r>
        <w:rPr>
          <w:b/>
          <w:bCs/>
          <w:color w:val="1F3A5F"/>
          <w:sz w:val="30"/>
          <w:szCs w:val="30"/>
        </w:rPr>
        <w:t xml:space="preserve">27.6 Herstel: wat er technisch, financieel en menselijk speelt</w:t>
      </w:r>
    </w:p>
    <w:p>
      <w:pPr>
        <w:spacing w:after="160" w:line="276"/>
      </w:pPr>
      <w:r>
        <w:rPr>
          <w:color w:val="1F2937"/>
          <w:sz w:val="22"/>
          <w:szCs w:val="22"/>
        </w:rPr>
        <w:t xml:space="preserve">Zodra de omvang en de compliancerichting duidelijk zijn, komt de herstelvraag. Ook hier drie lagen.</w:t>
      </w:r>
    </w:p>
    <w:p>
      <w:pPr>
        <w:spacing w:after="160" w:line="276"/>
      </w:pPr>
      <w:r>
        <w:rPr>
          <w:b/>
          <w:bCs/>
          <w:color w:val="1F2937"/>
          <w:sz w:val="22"/>
          <w:szCs w:val="22"/>
        </w:rPr>
        <w:t xml:space="preserve">Technisch herstel.</w:t>
      </w:r>
      <w:r>
        <w:rPr>
          <w:color w:val="1F2937"/>
          <w:sz w:val="22"/>
          <w:szCs w:val="22"/>
        </w:rPr>
        <w:t xml:space="preserve"> De fout in het rekenmechanisme wordt gecorrigeerd — dat is het eenvoudigste deel, en het hoort in een ADR met de volledige reconstructie: wat de fout was, waarom zij is ontstaan, en welke fitness function haar voortaan afvangt.</w:t>
      </w:r>
    </w:p>
    <w:p>
      <w:pPr>
        <w:spacing w:after="160" w:line="276"/>
      </w:pPr>
      <w:r>
        <w:rPr>
          <w:b/>
          <w:bCs/>
          <w:color w:val="1F2937"/>
          <w:sz w:val="22"/>
          <w:szCs w:val="22"/>
        </w:rPr>
        <w:t xml:space="preserve">Financieel herstel.</w:t>
      </w:r>
      <w:r>
        <w:rPr>
          <w:color w:val="1F2937"/>
          <w:sz w:val="22"/>
          <w:szCs w:val="22"/>
        </w:rPr>
        <w:t xml:space="preserve"> Nabetalingen bij te weinig opgebouwd pensioen, en de moeilijkere vraag van terugvordering bij te veel uitgekeerd. Terugvordering bij pensioenuitkeringen is juridisch en ethisch gevoelig — een gepensioneerde die twaalf jaar te veel ontving en dat niet kon weten, wordt anders behandeld dan een recent geval. Dit is uitdrukkelijk geen architectuurvraag.</w:t>
      </w:r>
    </w:p>
    <w:p>
      <w:pPr>
        <w:spacing w:after="160" w:line="276"/>
      </w:pPr>
      <w:r>
        <w:rPr>
          <w:b/>
          <w:bCs/>
          <w:color w:val="1F2937"/>
          <w:sz w:val="22"/>
          <w:szCs w:val="22"/>
        </w:rPr>
        <w:t xml:space="preserve">Menselijk herstel.</w:t>
      </w:r>
      <w:r>
        <w:rPr>
          <w:color w:val="1F2937"/>
          <w:sz w:val="22"/>
          <w:szCs w:val="22"/>
        </w:rPr>
        <w:t xml:space="preserve"> Hoe wordt een gedupeerde geïnformeerd, in welke taal, met welke ondersteuning. Voor de nabestaanden van overleden deelnemers is dit het gevoeligst. Ook dit is geen architectuurvraag, en de architect kan wel bijdragen aan het technisch mogelijk maken van een zorgvuldig communicatieproces — bijvoorbeeld door de gebeurtenisopslag (deel 14) te gebruiken om precies te reconstrueren wat elke gedupeerde wanneer heeft ontvangen, wat nodig is voor een eerlijke individuele brief in plaats van een generieke.</w:t>
      </w:r>
    </w:p>
    <w:p>
      <w:pPr>
        <w:spacing w:after="160" w:line="276"/>
      </w:pPr>
      <w:r>
        <w:rPr>
          <w:b/>
          <w:bCs/>
          <w:color w:val="1F2937"/>
          <w:sz w:val="22"/>
          <w:szCs w:val="22"/>
        </w:rPr>
        <w:t xml:space="preserve">Waar de architectuur uit deze cursus hier het verschil maakt: </w:t>
      </w:r>
      <w:r>
        <w:rPr>
          <w:color w:val="1F2937"/>
          <w:sz w:val="22"/>
          <w:szCs w:val="22"/>
        </w:rPr>
        <w:t xml:space="preserve">de onveranderlijke gebeurtenisopslag met twee tijdlijnen (deel 14) is precies het instrument dat nu zijn waarde bewijst. Zonder haar zou de reconstructie van "wat wist het systeem op elk moment, en wat gold er feitelijk" niet mogelijk zijn geweest, en zou Meridiaan de omvang van deze fout nooit hebben kunnen vaststellen.</w:t>
      </w:r>
    </w:p>
    <w:p>
      <w:pPr>
        <w:spacing w:after="160" w:line="276"/>
      </w:pPr>
      <w:r>
        <w:rPr>
          <w:b/>
          <w:bCs/>
          <w:color w:val="1F2937"/>
          <w:sz w:val="22"/>
          <w:szCs w:val="22"/>
        </w:rPr>
        <w:t xml:space="preserve">Dat is de stille les van dit deel: </w:t>
      </w:r>
      <w:r>
        <w:rPr>
          <w:color w:val="1F2937"/>
          <w:sz w:val="22"/>
          <w:szCs w:val="22"/>
        </w:rPr>
        <w:t xml:space="preserve">de investeringen in aantoonbaarheid die niveau 1 en 2 rechtvaardigden met abstracte argumenten over toezicht en kwaliteitsscenario's, blijken hier hun waarde in een concreet, menselijk geval.</w:t>
      </w:r>
    </w:p>
    <w:p>
      <w:pPr>
        <w:pStyle w:val="Heading1"/>
        <w:pBdr>
          <w:bottom w:val="single" w:color="E5E7EB" w:sz="6" w:space="6"/>
        </w:pBdr>
        <w:spacing w:after="180" w:before="380"/>
      </w:pPr>
      <w:r>
        <w:rPr>
          <w:b/>
          <w:bCs/>
          <w:color w:val="1F3A5F"/>
          <w:sz w:val="30"/>
          <w:szCs w:val="30"/>
        </w:rPr>
        <w:t xml:space="preserve">27.7 Uw eigen rol, volledig vervuld en scherp begrensd</w:t>
      </w:r>
    </w:p>
    <w:p>
      <w:pPr>
        <w:spacing w:after="160" w:line="276"/>
      </w:pPr>
      <w:r>
        <w:rPr>
          <w:color w:val="1F2937"/>
          <w:sz w:val="22"/>
          <w:szCs w:val="22"/>
        </w:rPr>
        <w:t xml:space="preserve">Dit deel eindigt bij dezelfde spanning die door heel niveau 2 en 3 loopt, hier op haar zwaarst.</w:t>
      </w:r>
    </w:p>
    <w:p>
      <w:pPr>
        <w:spacing w:after="160" w:line="276"/>
      </w:pPr>
      <w:r>
        <w:rPr>
          <w:b/>
          <w:bCs/>
          <w:color w:val="1F2937"/>
          <w:sz w:val="22"/>
          <w:szCs w:val="22"/>
        </w:rPr>
        <w:t xml:space="preserve">Wat volledig aan u is:</w:t>
      </w:r>
      <w:r>
        <w:rPr>
          <w:color w:val="1F2937"/>
          <w:sz w:val="22"/>
          <w:szCs w:val="22"/>
        </w:rPr>
        <w:t xml:space="preserve"/>
      </w:r>
    </w:p>
    <w:p>
      <w:pPr>
        <w:pStyle w:val="ListParagraph"/>
        <w:numPr>
          <w:ilvl w:val="0"/>
          <w:numId w:val="3"/>
        </w:numPr>
        <w:spacing w:after="100"/>
      </w:pPr>
      <w:r>
        <w:rPr>
          <w:color w:val="1F2937"/>
          <w:sz w:val="22"/>
          <w:szCs w:val="22"/>
        </w:rPr>
        <w:t xml:space="preserve">De technische reconstructie: wat is de fout, hoe vaak komt zij voor, wanneer is zij ontstaan.</w:t>
      </w:r>
    </w:p>
    <w:p>
      <w:pPr>
        <w:pStyle w:val="ListParagraph"/>
        <w:numPr>
          <w:ilvl w:val="0"/>
          <w:numId w:val="3"/>
        </w:numPr>
        <w:spacing w:after="100"/>
      </w:pPr>
      <w:r>
        <w:rPr>
          <w:color w:val="1F2937"/>
          <w:sz w:val="22"/>
          <w:szCs w:val="22"/>
        </w:rPr>
        <w:t xml:space="preserve">De eerlijke, tijdige melding van wat u weet, met expliciete onzekerheidsmarges.</w:t>
      </w:r>
    </w:p>
    <w:p>
      <w:pPr>
        <w:pStyle w:val="ListParagraph"/>
        <w:numPr>
          <w:ilvl w:val="0"/>
          <w:numId w:val="3"/>
        </w:numPr>
        <w:spacing w:after="100"/>
      </w:pPr>
      <w:r>
        <w:rPr>
          <w:color w:val="1F2937"/>
          <w:sz w:val="22"/>
          <w:szCs w:val="22"/>
        </w:rPr>
        <w:t xml:space="preserve">Het technisch herstel en de maatregel die herhaling voorkomt.</w:t>
      </w:r>
    </w:p>
    <w:p>
      <w:pPr>
        <w:pStyle w:val="ListParagraph"/>
        <w:numPr>
          <w:ilvl w:val="0"/>
          <w:numId w:val="3"/>
        </w:numPr>
        <w:spacing w:after="100"/>
      </w:pPr>
      <w:r>
        <w:rPr>
          <w:color w:val="1F2937"/>
          <w:sz w:val="22"/>
          <w:szCs w:val="22"/>
        </w:rPr>
        <w:t xml:space="preserve">Het bouwen van wat nodig is voor zorgvuldig financieel en menselijk herstel, ook al beslist u daar niet over.</w:t>
      </w:r>
    </w:p>
    <w:p>
      <w:pPr>
        <w:pStyle w:val="ListParagraph"/>
        <w:numPr>
          <w:ilvl w:val="0"/>
          <w:numId w:val="3"/>
        </w:numPr>
        <w:spacing w:after="100"/>
      </w:pPr>
      <w:r>
        <w:rPr>
          <w:b/>
          <w:bCs/>
          <w:color w:val="1F2937"/>
          <w:sz w:val="22"/>
          <w:szCs w:val="22"/>
        </w:rPr>
        <w:t xml:space="preserve">Nooit zwijgen,</w:t>
      </w:r>
      <w:r>
        <w:rPr>
          <w:color w:val="1F2937"/>
          <w:sz w:val="22"/>
          <w:szCs w:val="22"/>
        </w:rPr>
        <w:t xml:space="preserve"> en blijven melden zolang er geen besluit is.</w:t>
      </w:r>
    </w:p>
    <w:p>
      <w:pPr>
        <w:spacing w:after="160" w:line="276"/>
      </w:pPr>
      <w:r>
        <w:rPr>
          <w:b/>
          <w:bCs/>
          <w:color w:val="1F2937"/>
          <w:sz w:val="22"/>
          <w:szCs w:val="22"/>
        </w:rPr>
        <w:t xml:space="preserve">Wat niet aan u is:</w:t>
      </w:r>
      <w:r>
        <w:rPr>
          <w:color w:val="1F2937"/>
          <w:sz w:val="22"/>
          <w:szCs w:val="22"/>
        </w:rPr>
        <w:t xml:space="preserve"/>
      </w:r>
    </w:p>
    <w:p>
      <w:pPr>
        <w:pStyle w:val="ListParagraph"/>
        <w:numPr>
          <w:ilvl w:val="0"/>
          <w:numId w:val="3"/>
        </w:numPr>
        <w:spacing w:after="100"/>
      </w:pPr>
      <w:r>
        <w:rPr>
          <w:color w:val="1F2937"/>
          <w:sz w:val="22"/>
          <w:szCs w:val="22"/>
        </w:rPr>
        <w:t xml:space="preserve">Of, wanneer en hoe extern wordt gemeld.</w:t>
      </w:r>
    </w:p>
    <w:p>
      <w:pPr>
        <w:pStyle w:val="ListParagraph"/>
        <w:numPr>
          <w:ilvl w:val="0"/>
          <w:numId w:val="3"/>
        </w:numPr>
        <w:spacing w:after="100"/>
      </w:pPr>
      <w:r>
        <w:rPr>
          <w:color w:val="1F2937"/>
          <w:sz w:val="22"/>
          <w:szCs w:val="22"/>
        </w:rPr>
        <w:t xml:space="preserve">Hoeveel wordt terugbetaald of teruggevorderd, en van wie.</w:t>
      </w:r>
    </w:p>
    <w:p>
      <w:pPr>
        <w:pStyle w:val="ListParagraph"/>
        <w:numPr>
          <w:ilvl w:val="0"/>
          <w:numId w:val="3"/>
        </w:numPr>
        <w:spacing w:after="100"/>
      </w:pPr>
      <w:r>
        <w:rPr>
          <w:color w:val="1F2937"/>
          <w:sz w:val="22"/>
          <w:szCs w:val="22"/>
        </w:rPr>
        <w:t xml:space="preserve">Hoe de relatie met fonds B en de toezichthouder wordt gemanaged.</w:t>
      </w:r>
    </w:p>
    <w:p>
      <w:pPr>
        <w:pStyle w:val="ListParagraph"/>
        <w:numPr>
          <w:ilvl w:val="0"/>
          <w:numId w:val="3"/>
        </w:numPr>
        <w:spacing w:after="100"/>
      </w:pPr>
      <w:r>
        <w:rPr>
          <w:color w:val="1F2937"/>
          <w:sz w:val="22"/>
          <w:szCs w:val="22"/>
        </w:rPr>
        <w:t xml:space="preserve">Het oordeel of dit "erg" is in bestuurlijke of publieke zin.</w:t>
      </w:r>
    </w:p>
    <w:p>
      <w:pPr>
        <w:spacing w:after="160" w:line="276"/>
      </w:pPr>
      <w:r>
        <w:rPr>
          <w:b/>
          <w:bCs/>
          <w:color w:val="1F2937"/>
          <w:sz w:val="22"/>
          <w:szCs w:val="22"/>
        </w:rPr>
        <w:t xml:space="preserve">De vaardigheid die dit deel toetst, is niet kennis maar houding: </w:t>
      </w:r>
      <w:r>
        <w:rPr>
          <w:color w:val="1F2937"/>
          <w:sz w:val="22"/>
          <w:szCs w:val="22"/>
        </w:rPr>
        <w:t xml:space="preserve">kunt u volledig verantwoordelijkheid nemen voor wat van u is, zonder verantwoordelijkheid te grijpen voor wat niet van u is — en zonder u terug te trekken uit wat wél van u is omdat het ongemakkelijk wordt?</w:t>
      </w:r>
    </w:p>
    <w:p>
      <w:pPr>
        <w:spacing w:after="160" w:line="276"/>
      </w:pPr>
      <w:r>
        <w:rPr>
          <w:b/>
          <w:bCs/>
          <w:color w:val="1F2937"/>
          <w:sz w:val="22"/>
          <w:szCs w:val="22"/>
        </w:rPr>
        <w:t xml:space="preserve">Dat is de vraag waarop het examinatoreninterview in deel 28 het scherpst doorvraagt, </w:t>
      </w:r>
      <w:r>
        <w:rPr>
          <w:color w:val="1F2937"/>
          <w:sz w:val="22"/>
          <w:szCs w:val="22"/>
        </w:rPr>
        <w:t xml:space="preserve">en het is geen toeval dat dit het laatste inhoudelijke deel is vóór dat interview.</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Een historische fout is drie kwesties tegelijk — technisch, compliance, bestuurlijk — met verschillende eigenaren en verschillende tempo's. Wachten met de technische analyse tot de andere twee klaar zijn, is verkeerd om.</w:t>
      </w:r>
    </w:p>
    <w:p>
      <w:pPr>
        <w:pStyle w:val="ListParagraph"/>
        <w:numPr>
          <w:ilvl w:val="0"/>
          <w:numId w:val="3"/>
        </w:numPr>
        <w:spacing w:after="100"/>
      </w:pPr>
      <w:r>
        <w:rPr>
          <w:color w:val="1F2937"/>
          <w:sz w:val="22"/>
          <w:szCs w:val="22"/>
        </w:rPr>
        <w:t xml:space="preserve">De meldplichttermijn loopt vanaf redelijk vermoeden, niet vanaf volledige zekerheid. Meld met een bandbreedte en een vervolgtermijn, niet pas met de volledige lijst.</w:t>
      </w:r>
    </w:p>
    <w:p>
      <w:pPr>
        <w:pStyle w:val="ListParagraph"/>
        <w:numPr>
          <w:ilvl w:val="0"/>
          <w:numId w:val="3"/>
        </w:numPr>
        <w:spacing w:after="100"/>
      </w:pPr>
      <w:r>
        <w:rPr>
          <w:color w:val="1F2937"/>
          <w:sz w:val="22"/>
          <w:szCs w:val="22"/>
        </w:rPr>
        <w:t xml:space="preserve">Ontwerpfout of gerealiseerd risico, op een fout van twaalf jaar oud: de architect levert de reconstructie, niet het eindoordeel — en werkt niet mee aan het verkleinen van de fout in de beschrijving.</w:t>
      </w:r>
    </w:p>
    <w:p>
      <w:pPr>
        <w:pStyle w:val="ListParagraph"/>
        <w:numPr>
          <w:ilvl w:val="0"/>
          <w:numId w:val="3"/>
        </w:numPr>
        <w:spacing w:after="100"/>
      </w:pPr>
      <w:r>
        <w:rPr>
          <w:color w:val="1F2937"/>
          <w:sz w:val="22"/>
          <w:szCs w:val="22"/>
        </w:rPr>
        <w:t xml:space="preserve">De druk om stil te houden komt zelden expliciet. Herken de subtiele vormen en gebruik het instrumentarium van deel 26: mandaat versus invloed, nooit zwijgen.</w:t>
      </w:r>
    </w:p>
    <w:p>
      <w:pPr>
        <w:pStyle w:val="ListParagraph"/>
        <w:numPr>
          <w:ilvl w:val="0"/>
          <w:numId w:val="3"/>
        </w:numPr>
        <w:spacing w:after="100"/>
      </w:pPr>
      <w:r>
        <w:rPr>
          <w:color w:val="1F2937"/>
          <w:sz w:val="22"/>
          <w:szCs w:val="22"/>
        </w:rPr>
        <w:t xml:space="preserve">Financieel en menselijk herstel zijn geen architectuurvragen. De architectuur uit deel 14 — onveranderlijke gebeurtenissen, twee tijdlijnen — maakt zorgvuldig herstel wel mogelijk.</w:t>
      </w:r>
    </w:p>
    <w:p>
      <w:pPr>
        <w:pStyle w:val="ListParagraph"/>
        <w:numPr>
          <w:ilvl w:val="0"/>
          <w:numId w:val="3"/>
        </w:numPr>
        <w:spacing w:after="100"/>
      </w:pPr>
      <w:r>
        <w:rPr>
          <w:color w:val="1F2937"/>
          <w:sz w:val="22"/>
          <w:szCs w:val="22"/>
        </w:rPr>
        <w:t xml:space="preserve">Wat volledig aan u is: reconstructie, tijdige melding, technisch herstel, en nooit zwijgen. Wat niet aan u is: of en hoe extern gemeld wordt, hoeveel wordt terugbetaald, en het bestuurlijke oordeel.</w:t>
      </w:r>
    </w:p>
    <w:p>
      <w:pPr>
        <w:pStyle w:val="ListParagraph"/>
        <w:numPr>
          <w:ilvl w:val="0"/>
          <w:numId w:val="3"/>
        </w:numPr>
        <w:spacing w:after="100"/>
      </w:pPr>
      <w:r>
        <w:rPr>
          <w:color w:val="1F2937"/>
          <w:sz w:val="22"/>
          <w:szCs w:val="22"/>
        </w:rPr>
        <w:t xml:space="preserve">De vaardigheid die dit deel toetst, is houding: volledige verantwoordelijkheid nemen voor wat van u is, zonder verantwoordelijkheid te grijpen voor wat niet van u is.</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Drie kwesties tegelijk — </w:t>
      </w:r>
      <w:r>
        <w:rPr>
          <w:color w:val="1F2937"/>
          <w:sz w:val="22"/>
          <w:szCs w:val="22"/>
        </w:rPr>
        <w:t xml:space="preserve">technisch, compliance, bestuurlijk; elk met een eigen eigenaar en tempo.</w:t>
      </w:r>
    </w:p>
    <w:p>
      <w:pPr>
        <w:spacing w:after="160" w:line="276"/>
      </w:pPr>
      <w:r>
        <w:rPr>
          <w:b/>
          <w:bCs/>
          <w:color w:val="1F2937"/>
          <w:sz w:val="22"/>
          <w:szCs w:val="22"/>
        </w:rPr>
        <w:t xml:space="preserve">Redelijk vermoeden — </w:t>
      </w:r>
      <w:r>
        <w:rPr>
          <w:color w:val="1F2937"/>
          <w:sz w:val="22"/>
          <w:szCs w:val="22"/>
        </w:rPr>
        <w:t xml:space="preserve">het moment waarop een meldplichttermijn begint te lopen, eerder dan volledige zekerheid.</w:t>
      </w:r>
    </w:p>
    <w:p>
      <w:pPr>
        <w:spacing w:after="160" w:line="276"/>
      </w:pPr>
      <w:r>
        <w:rPr>
          <w:b/>
          <w:bCs/>
          <w:color w:val="1F2937"/>
          <w:sz w:val="22"/>
          <w:szCs w:val="22"/>
        </w:rPr>
        <w:t xml:space="preserve">Voorlopige melding met bandbreedte — </w:t>
      </w:r>
      <w:r>
        <w:rPr>
          <w:color w:val="1F2937"/>
          <w:sz w:val="22"/>
          <w:szCs w:val="22"/>
        </w:rPr>
        <w:t xml:space="preserve">een vroege, expliciet als voorlopig gemarkeerde melding met een vervolgtermijn.</w:t>
      </w:r>
    </w:p>
    <w:p>
      <w:pPr>
        <w:spacing w:after="160" w:line="276"/>
      </w:pPr>
      <w:r>
        <w:rPr>
          <w:b/>
          <w:bCs/>
          <w:color w:val="1F2937"/>
          <w:sz w:val="22"/>
          <w:szCs w:val="22"/>
        </w:rPr>
        <w:t xml:space="preserve">Technisch, financieel en menselijk herstel — </w:t>
      </w:r>
      <w:r>
        <w:rPr>
          <w:color w:val="1F2937"/>
          <w:sz w:val="22"/>
          <w:szCs w:val="22"/>
        </w:rPr>
        <w:t xml:space="preserve">drie lagen van herstel na een fout; alleen de eerste is volledig architectenwerk.</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Deel 9, 14 en 26 van deze cursus: ontwerpfout versus gerealiseerd risico, gebeurtenisopslag en tijdlijnen, en meldingsgedrag.</w:t>
      </w:r>
    </w:p>
    <w:p>
      <w:pPr>
        <w:pStyle w:val="ListParagraph"/>
        <w:numPr>
          <w:ilvl w:val="0"/>
          <w:numId w:val="3"/>
        </w:numPr>
        <w:spacing w:after="100"/>
      </w:pPr>
      <w:r>
        <w:rPr>
          <w:color w:val="1F2937"/>
          <w:sz w:val="22"/>
          <w:szCs w:val="22"/>
        </w:rPr>
        <w:t xml:space="preserve">Uw eigen sectorkaders over meldplichten bij pensioenuitvoering; die zijn leidend.</w:t>
      </w:r>
    </w:p>
    <w:p>
      <w:pPr>
        <w:pStyle w:val="ListParagraph"/>
        <w:numPr>
          <w:ilvl w:val="0"/>
          <w:numId w:val="3"/>
        </w:numPr>
        <w:spacing w:after="100"/>
      </w:pPr>
      <w:r>
        <w:rPr>
          <w:color w:val="1F2937"/>
          <w:sz w:val="22"/>
          <w:szCs w:val="22"/>
        </w:rPr>
        <w:t xml:space="preserve">iSAQB, over ethiek en professionele verantwoordelijkheid binnen het Advanced-curriculum — zie isaqb.org voor de actuele behandeling.</w:t>
      </w:r>
    </w:p>
    <w:p>
      <w:pPr>
        <w:pBdr>
          <w:top w:val="single" w:color="E5E7EB" w:sz="4" w:space="8"/>
        </w:pBdr>
        <w:spacing w:before="400"/>
        <w:jc w:val="center"/>
      </w:pPr>
      <w:r>
        <w:rPr>
          <w:i/>
          <w:iCs/>
          <w:color w:val="6B7280"/>
          <w:sz w:val="17"/>
          <w:szCs w:val="17"/>
        </w:rPr>
        <w:t xml:space="preserve">Ductus B.V. · Cursus Softwarearchitectuur · Niveau 3, deel 27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2026-08-17T19:57:39.306Z</dcterms:created>
  <dcterms:modified xsi:type="dcterms:W3CDTF">2026-08-17T19:57:39.306Z</dcterms:modified>
</cp:coreProperties>
</file>

<file path=docProps/custom.xml><?xml version="1.0" encoding="utf-8"?>
<Properties xmlns="http://schemas.openxmlformats.org/officeDocument/2006/custom-properties" xmlns:vt="http://schemas.openxmlformats.org/officeDocument/2006/docPropsVTypes"/>
</file>