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27 — Wanneer de fout al twaalf jaar oud is</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3 (CPSA-A certificeringstraject) · Deel 27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CU: het technische reconstructieverslag van de 200 oorspronkelijke afwijkingen, met het onderliggende mechanisme</w:t>
      </w:r>
    </w:p>
    <w:p>
      <w:pPr>
        <w:pStyle w:val="ListParagraph"/>
        <w:numPr>
          <w:ilvl w:val="0"/>
          <w:numId w:val="2"/>
        </w:numPr>
        <w:spacing w:after="100"/>
      </w:pPr>
      <w:r>
        <w:rPr>
          <w:color w:val="1F2937"/>
          <w:sz w:val="22"/>
          <w:szCs w:val="22"/>
        </w:rPr>
        <w:t xml:space="preserve">Bijlage CV: het sectorkader over meldplichten en de termijn vanaf "redelijk vermoeden"</w:t>
      </w:r>
    </w:p>
    <w:p>
      <w:pPr>
        <w:pStyle w:val="ListParagraph"/>
        <w:numPr>
          <w:ilvl w:val="0"/>
          <w:numId w:val="2"/>
        </w:numPr>
        <w:spacing w:after="100"/>
      </w:pPr>
      <w:r>
        <w:rPr>
          <w:color w:val="1F2937"/>
          <w:sz w:val="22"/>
          <w:szCs w:val="22"/>
        </w:rPr>
        <w:t xml:space="preserve">Bijlage CW: drie concepttekstversies voor de eerste interne melding, van vaag naar precies</w:t>
      </w:r>
    </w:p>
    <w:p>
      <w:pPr>
        <w:pStyle w:val="ListParagraph"/>
        <w:numPr>
          <w:ilvl w:val="0"/>
          <w:numId w:val="2"/>
        </w:numPr>
        <w:spacing w:after="100"/>
      </w:pPr>
      <w:r>
        <w:rPr>
          <w:color w:val="1F2937"/>
          <w:sz w:val="22"/>
          <w:szCs w:val="22"/>
        </w:rPr>
        <w:t xml:space="preserve">Bijlage CX: vier sectorcasussen van historische fouten, geanonimiseerd, met hun afloop en de rol van de architect daarin</w:t>
      </w:r>
    </w:p>
    <w:p>
      <w:pPr>
        <w:pStyle w:val="ListParagraph"/>
        <w:numPr>
          <w:ilvl w:val="0"/>
          <w:numId w:val="2"/>
        </w:numPr>
        <w:spacing w:after="100"/>
      </w:pPr>
      <w:r>
        <w:rPr>
          <w:color w:val="1F2937"/>
          <w:sz w:val="22"/>
          <w:szCs w:val="22"/>
        </w:rPr>
        <w:t xml:space="preserve">Bijlage CY: rolkaarten voor het rollenspel — compliance officer, directielid, architect</w:t>
      </w:r>
    </w:p>
    <w:p>
      <w:pPr>
        <w:pStyle w:val="Heading1"/>
        <w:pBdr>
          <w:bottom w:val="single" w:color="E5E7EB" w:sz="6" w:space="6"/>
        </w:pBdr>
        <w:spacing w:after="180" w:before="380"/>
      </w:pPr>
      <w:r>
        <w:rPr>
          <w:b/>
          <w:bCs/>
          <w:color w:val="1F3A5F"/>
          <w:sz w:val="30"/>
          <w:szCs w:val="30"/>
        </w:rPr>
        <w:t xml:space="preserve">Opdracht 27.1 — De drie kwesties scheiden (groepen van vier,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Verdeel de volgende taken over technisch, compliance, en bestuurlijk: het mechanisme reconstrueren; bepalen of er een meldplicht is; de externe communicatie voorbereiden; een fitness function bouwen die herhaling voorkomt; bepalen wie wordt teruggevorderd; de relatie met fonds B managen; de steekproef doorrekenen om de omvang te schatten; het gesprek met de toezichthouder voeren.</w:t>
      </w:r>
    </w:p>
    <w:p>
      <w:pPr>
        <w:pStyle w:val="ListParagraph"/>
        <w:numPr>
          <w:ilvl w:val="0"/>
          <w:numId w:val="2"/>
        </w:numPr>
        <w:spacing w:after="100"/>
      </w:pPr>
      <w:r>
        <w:rPr>
          <w:b/>
          <w:bCs/>
          <w:color w:val="1F2937"/>
          <w:sz w:val="22"/>
          <w:szCs w:val="22"/>
        </w:rPr>
        <w:t xml:space="preserve">b)</w:t>
      </w:r>
      <w:r>
        <w:rPr>
          <w:color w:val="1F2937"/>
          <w:sz w:val="22"/>
          <w:szCs w:val="22"/>
        </w:rPr>
        <w:t xml:space="preserve"> Welke van deze taken kan nu al beginnen, en welke moet wachten op de uitkomst van een andere?</w:t>
      </w:r>
    </w:p>
    <w:p>
      <w:pPr>
        <w:pStyle w:val="ListParagraph"/>
        <w:numPr>
          <w:ilvl w:val="0"/>
          <w:numId w:val="2"/>
        </w:numPr>
        <w:spacing w:after="100"/>
      </w:pPr>
      <w:r>
        <w:rPr>
          <w:b/>
          <w:bCs/>
          <w:color w:val="1F2937"/>
          <w:sz w:val="22"/>
          <w:szCs w:val="22"/>
        </w:rPr>
        <w:t xml:space="preserve">c)</w:t>
      </w:r>
      <w:r>
        <w:rPr>
          <w:color w:val="1F2937"/>
          <w:sz w:val="22"/>
          <w:szCs w:val="22"/>
        </w:rPr>
        <w:t xml:space="preserve"> Formuleer de valkuil "wachten met de technische analyse tot de andere twee klaar zijn" in uw eigen woorden, met een concreet gevolg als deze valkuil hier zou optreden.</w:t>
      </w:r>
    </w:p>
    <w:p>
      <w:pPr>
        <w:pStyle w:val="ListParagraph"/>
        <w:numPr>
          <w:ilvl w:val="0"/>
          <w:numId w:val="2"/>
        </w:numPr>
        <w:spacing w:after="100"/>
      </w:pPr>
      <w:r>
        <w:rPr>
          <w:b/>
          <w:bCs/>
          <w:color w:val="1F2937"/>
          <w:sz w:val="22"/>
          <w:szCs w:val="22"/>
        </w:rPr>
        <w:t xml:space="preserve">d)</w:t>
      </w:r>
      <w:r>
        <w:rPr>
          <w:color w:val="1F2937"/>
          <w:sz w:val="22"/>
          <w:szCs w:val="22"/>
        </w:rPr>
        <w:t xml:space="preserve"> Wie is bij Meridiaan waarschijnlijk de eigenaar van elk van de drie kwesties? Noem functies, geen namen.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27.1</w:t>
            </w:r>
          </w:p>
          <w:p>
            <w:pPr>
              <w:spacing w:after="80"/>
            </w:pPr>
          </w:p>
          <w:p>
            <w:pPr>
              <w:spacing w:after="120" w:line="276"/>
            </w:pPr>
            <w:r>
              <w:rPr>
                <w:b/>
                <w:bCs/>
                <w:color w:val="1F2937"/>
                <w:sz w:val="21"/>
                <w:szCs w:val="21"/>
              </w:rPr>
              <w:t xml:space="preserve">a) De verdeling:</w:t>
            </w:r>
            <w:r>
              <w:rPr>
                <w:color w:val="1F2937"/>
                <w:sz w:val="21"/>
                <w:szCs w:val="21"/>
              </w:rPr>
              <w:t xml:space="preserve"/>
            </w:r>
          </w:p>
          <w:tbl>
            <w:tblPr>
              <w:tblW w:type="dxa" w:w="84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4800"/>
              <w:gridCol w:w="3600"/>
            </w:tblGrid>
            <w:tr>
              <w:trPr>
                <w:tblHeader/>
              </w:trPr>
              <w:tc>
                <w:tcPr>
                  <w:tcW w:type="dxa" w:w="4800"/>
                  <w:shd w:fill="1F3A5F" w:val="clear"/>
                  <w:tcMar>
                    <w:top w:type="dxa" w:w="100"/>
                    <w:left w:type="dxa" w:w="120"/>
                    <w:bottom w:type="dxa" w:w="100"/>
                    <w:right w:type="dxa" w:w="120"/>
                  </w:tcMar>
                  <w:vAlign w:val="center"/>
                </w:tcPr>
                <w:p>
                  <w:r>
                    <w:rPr>
                      <w:b/>
                      <w:bCs/>
                      <w:color w:val="FFFFFF"/>
                      <w:sz w:val="19"/>
                      <w:szCs w:val="19"/>
                    </w:rPr>
                    <w:t xml:space="preserve">Taak</w:t>
                  </w:r>
                </w:p>
              </w:tc>
              <w:tc>
                <w:tcPr>
                  <w:tcW w:type="dxa" w:w="3600"/>
                  <w:shd w:fill="1F3A5F" w:val="clear"/>
                  <w:tcMar>
                    <w:top w:type="dxa" w:w="100"/>
                    <w:left w:type="dxa" w:w="120"/>
                    <w:bottom w:type="dxa" w:w="100"/>
                    <w:right w:type="dxa" w:w="120"/>
                  </w:tcMar>
                  <w:vAlign w:val="center"/>
                </w:tcPr>
                <w:p>
                  <w:r>
                    <w:rPr>
                      <w:b/>
                      <w:bCs/>
                      <w:color w:val="FFFFFF"/>
                      <w:sz w:val="19"/>
                      <w:szCs w:val="19"/>
                    </w:rPr>
                    <w:t xml:space="preserve">Kwestie</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Het mechanisme reconstrueren</w:t>
                  </w:r>
                </w:p>
              </w:tc>
              <w:tc>
                <w:tcPr>
                  <w:tcW w:type="dxa" w:w="3600"/>
                  <w:tcMar>
                    <w:top w:type="dxa" w:w="100"/>
                    <w:left w:type="dxa" w:w="120"/>
                    <w:bottom w:type="dxa" w:w="100"/>
                    <w:right w:type="dxa" w:w="120"/>
                  </w:tcMar>
                  <w:vAlign w:val="center"/>
                </w:tcPr>
                <w:p>
                  <w:r>
                    <w:rPr>
                      <w:b w:val="false"/>
                      <w:bCs w:val="false"/>
                      <w:color w:val="1F2937"/>
                      <w:sz w:val="19"/>
                      <w:szCs w:val="19"/>
                    </w:rPr>
                    <w:t xml:space="preserve">Technisch</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Bepalen of er een meldplicht is</w:t>
                  </w:r>
                </w:p>
              </w:tc>
              <w:tc>
                <w:tcPr>
                  <w:tcW w:type="dxa" w:w="3600"/>
                  <w:tcMar>
                    <w:top w:type="dxa" w:w="100"/>
                    <w:left w:type="dxa" w:w="120"/>
                    <w:bottom w:type="dxa" w:w="100"/>
                    <w:right w:type="dxa" w:w="120"/>
                  </w:tcMar>
                  <w:vAlign w:val="center"/>
                </w:tcPr>
                <w:p>
                  <w:r>
                    <w:rPr>
                      <w:b w:val="false"/>
                      <w:bCs w:val="false"/>
                      <w:color w:val="1F2937"/>
                      <w:sz w:val="19"/>
                      <w:szCs w:val="19"/>
                    </w:rPr>
                    <w:t xml:space="preserve">Compliance</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De externe communicatie voorbereiden</w:t>
                  </w:r>
                </w:p>
              </w:tc>
              <w:tc>
                <w:tcPr>
                  <w:tcW w:type="dxa" w:w="3600"/>
                  <w:tcMar>
                    <w:top w:type="dxa" w:w="100"/>
                    <w:left w:type="dxa" w:w="120"/>
                    <w:bottom w:type="dxa" w:w="100"/>
                    <w:right w:type="dxa" w:w="120"/>
                  </w:tcMar>
                  <w:vAlign w:val="center"/>
                </w:tcPr>
                <w:p>
                  <w:r>
                    <w:rPr>
                      <w:b w:val="false"/>
                      <w:bCs w:val="false"/>
                      <w:color w:val="1F2937"/>
                      <w:sz w:val="19"/>
                      <w:szCs w:val="19"/>
                    </w:rPr>
                    <w:t xml:space="preserve">Bestuurlijk</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Een fitness function bouwen</w:t>
                  </w:r>
                </w:p>
              </w:tc>
              <w:tc>
                <w:tcPr>
                  <w:tcW w:type="dxa" w:w="3600"/>
                  <w:tcMar>
                    <w:top w:type="dxa" w:w="100"/>
                    <w:left w:type="dxa" w:w="120"/>
                    <w:bottom w:type="dxa" w:w="100"/>
                    <w:right w:type="dxa" w:w="120"/>
                  </w:tcMar>
                  <w:vAlign w:val="center"/>
                </w:tcPr>
                <w:p>
                  <w:r>
                    <w:rPr>
                      <w:b w:val="false"/>
                      <w:bCs w:val="false"/>
                      <w:color w:val="1F2937"/>
                      <w:sz w:val="19"/>
                      <w:szCs w:val="19"/>
                    </w:rPr>
                    <w:t xml:space="preserve">Technisch</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Bepalen wie wordt teruggevorderd</w:t>
                  </w:r>
                </w:p>
              </w:tc>
              <w:tc>
                <w:tcPr>
                  <w:tcW w:type="dxa" w:w="3600"/>
                  <w:tcMar>
                    <w:top w:type="dxa" w:w="100"/>
                    <w:left w:type="dxa" w:w="120"/>
                    <w:bottom w:type="dxa" w:w="100"/>
                    <w:right w:type="dxa" w:w="120"/>
                  </w:tcMar>
                  <w:vAlign w:val="center"/>
                </w:tcPr>
                <w:p>
                  <w:r>
                    <w:rPr>
                      <w:b w:val="false"/>
                      <w:bCs w:val="false"/>
                      <w:color w:val="1F2937"/>
                      <w:sz w:val="19"/>
                      <w:szCs w:val="19"/>
                    </w:rPr>
                    <w:t xml:space="preserve">Compliance (met bestuurlijke component)</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De relatie met fonds B managen</w:t>
                  </w:r>
                </w:p>
              </w:tc>
              <w:tc>
                <w:tcPr>
                  <w:tcW w:type="dxa" w:w="3600"/>
                  <w:tcMar>
                    <w:top w:type="dxa" w:w="100"/>
                    <w:left w:type="dxa" w:w="120"/>
                    <w:bottom w:type="dxa" w:w="100"/>
                    <w:right w:type="dxa" w:w="120"/>
                  </w:tcMar>
                  <w:vAlign w:val="center"/>
                </w:tcPr>
                <w:p>
                  <w:r>
                    <w:rPr>
                      <w:b w:val="false"/>
                      <w:bCs w:val="false"/>
                      <w:color w:val="1F2937"/>
                      <w:sz w:val="19"/>
                      <w:szCs w:val="19"/>
                    </w:rPr>
                    <w:t xml:space="preserve">Bestuurlijk</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De steekproef doorrekenen</w:t>
                  </w:r>
                </w:p>
              </w:tc>
              <w:tc>
                <w:tcPr>
                  <w:tcW w:type="dxa" w:w="3600"/>
                  <w:tcMar>
                    <w:top w:type="dxa" w:w="100"/>
                    <w:left w:type="dxa" w:w="120"/>
                    <w:bottom w:type="dxa" w:w="100"/>
                    <w:right w:type="dxa" w:w="120"/>
                  </w:tcMar>
                  <w:vAlign w:val="center"/>
                </w:tcPr>
                <w:p>
                  <w:r>
                    <w:rPr>
                      <w:b w:val="false"/>
                      <w:bCs w:val="false"/>
                      <w:color w:val="1F2937"/>
                      <w:sz w:val="19"/>
                      <w:szCs w:val="19"/>
                    </w:rPr>
                    <w:t xml:space="preserve">Technisch</w:t>
                  </w:r>
                </w:p>
              </w:tc>
            </w:tr>
            <w:tr>
              <w:trPr>
                <w:cantSplit/>
              </w:trPr>
              <w:tc>
                <w:tcPr>
                  <w:tcW w:type="dxa" w:w="4800"/>
                  <w:tcMar>
                    <w:top w:type="dxa" w:w="100"/>
                    <w:left w:type="dxa" w:w="120"/>
                    <w:bottom w:type="dxa" w:w="100"/>
                    <w:right w:type="dxa" w:w="120"/>
                  </w:tcMar>
                  <w:vAlign w:val="center"/>
                </w:tcPr>
                <w:p>
                  <w:r>
                    <w:rPr>
                      <w:b w:val="false"/>
                      <w:bCs w:val="false"/>
                      <w:color w:val="1F2937"/>
                      <w:sz w:val="19"/>
                      <w:szCs w:val="19"/>
                    </w:rPr>
                    <w:t xml:space="preserve">Het gesprek met de toezichthouder voeren</w:t>
                  </w:r>
                </w:p>
              </w:tc>
              <w:tc>
                <w:tcPr>
                  <w:tcW w:type="dxa" w:w="3600"/>
                  <w:tcMar>
                    <w:top w:type="dxa" w:w="100"/>
                    <w:left w:type="dxa" w:w="120"/>
                    <w:bottom w:type="dxa" w:w="100"/>
                    <w:right w:type="dxa" w:w="120"/>
                  </w:tcMar>
                  <w:vAlign w:val="center"/>
                </w:tcPr>
                <w:p>
                  <w:r>
                    <w:rPr>
                      <w:b w:val="false"/>
                      <w:bCs w:val="false"/>
                      <w:color w:val="1F2937"/>
                      <w:sz w:val="19"/>
                      <w:szCs w:val="19"/>
                    </w:rPr>
                    <w:t xml:space="preserve">Compliance/bestuurlijk samen</w:t>
                  </w:r>
                </w:p>
              </w:tc>
            </w:tr>
          </w:tbl>
          <w:p>
            <w:pPr>
              <w:spacing w:after="100"/>
            </w:pPr>
          </w:p>
          <w:p>
            <w:pPr>
              <w:spacing w:after="120" w:line="276"/>
            </w:pPr>
            <w:r>
              <w:rPr>
                <w:b/>
                <w:bCs/>
                <w:color w:val="1F2937"/>
                <w:sz w:val="21"/>
                <w:szCs w:val="21"/>
              </w:rPr>
              <w:t xml:space="preserve">b) Wat nu al kan beginnen: </w:t>
            </w:r>
            <w:r>
              <w:rPr>
                <w:color w:val="1F2937"/>
                <w:sz w:val="21"/>
                <w:szCs w:val="21"/>
              </w:rPr>
              <w:t xml:space="preserve">het mechanisme reconstrueren en de steekproef doorrekenen — dat kan onmiddellijk en het levert de feiten die de andere twee kwesties nodig hebben.</w:t>
            </w:r>
          </w:p>
          <w:p>
            <w:pPr>
              <w:spacing w:after="120" w:line="276"/>
            </w:pPr>
            <w:r>
              <w:rPr>
                <w:b/>
                <w:bCs/>
                <w:color w:val="1F2937"/>
                <w:sz w:val="21"/>
                <w:szCs w:val="21"/>
              </w:rPr>
              <w:t xml:space="preserve">Wat moet wachten: </w:t>
            </w:r>
            <w:r>
              <w:rPr>
                <w:color w:val="1F2937"/>
                <w:sz w:val="21"/>
                <w:szCs w:val="21"/>
              </w:rPr>
              <w:t xml:space="preserve">de externe communicatie en het gesprek met de toezichthouder wachten op de compliancebeoordeling, die op haar beurt de technische feiten nodig heeft.</w:t>
            </w:r>
          </w:p>
          <w:p>
            <w:pPr>
              <w:spacing w:after="120" w:line="276"/>
            </w:pPr>
            <w:r>
              <w:rPr>
                <w:b/>
                <w:bCs/>
                <w:color w:val="1F2937"/>
                <w:sz w:val="21"/>
                <w:szCs w:val="21"/>
              </w:rPr>
              <w:t xml:space="preserve">c) De valkuil concreet.</w:t>
            </w:r>
            <w:r>
              <w:rPr>
                <w:color w:val="1F2937"/>
                <w:sz w:val="21"/>
                <w:szCs w:val="21"/>
              </w:rPr>
              <w:t xml:space="preserve"> Als het technische team wacht met rapporteren tot compliance "klaar" is met haar beoordeling, terwijl compliance juist wacht op de technische feiten om te kunnen beginnen, ontstaat een impasse waarin niemand vooruitgaat en de meldtermijn intussen doorloopt. Dit gebeurt in de praktijk vaker dan verwacht, vaak uit een misplaatst gevoel van hoffelijkheid — niemand wil "voor zijn beurt" iets zeggen.</w:t>
            </w:r>
          </w:p>
          <w:p>
            <w:pPr>
              <w:spacing w:after="120" w:line="276"/>
            </w:pPr>
            <w:r>
              <w:rPr>
                <w:b/>
                <w:bCs/>
                <w:color w:val="1F2937"/>
                <w:sz w:val="21"/>
                <w:szCs w:val="21"/>
              </w:rPr>
              <w:t xml:space="preserve">d) Eigenaren.</w:t>
            </w:r>
            <w:r>
              <w:rPr>
                <w:color w:val="1F2937"/>
                <w:sz w:val="21"/>
                <w:szCs w:val="21"/>
              </w:rPr>
              <w:t xml:space="preserve"> Technisch: de architect/technisch verantwoordelijke. Compliance: de compliance officer of functionaris integriteit, met juridische zaken. Bestuurlijk: de directie, uiteindelijk het bestuur van Meridiaan en mogelijk dat van fonds B.</w:t>
            </w:r>
          </w:p>
        </w:tc>
      </w:tr>
    </w:tbl>
    <w:p>
      <w:pPr>
        <w:spacing w:after="300"/>
      </w:pPr>
    </w:p>
    <w:p>
      <w:pPr>
        <w:pStyle w:val="Heading1"/>
        <w:pBdr>
          <w:bottom w:val="single" w:color="E5E7EB" w:sz="6" w:space="6"/>
        </w:pBdr>
        <w:spacing w:after="180" w:before="380"/>
      </w:pPr>
      <w:r>
        <w:rPr>
          <w:b/>
          <w:bCs/>
          <w:color w:val="1F3A5F"/>
          <w:sz w:val="30"/>
          <w:szCs w:val="30"/>
        </w:rPr>
        <w:t xml:space="preserve">Opdracht 27.2 — De omvang schatten zonder te wachten (individueel, 25 minuten)</w:t>
      </w:r>
    </w:p>
    <w:p>
      <w:pPr>
        <w:spacing w:after="160" w:line="276"/>
      </w:pPr>
      <w:r>
        <w:rPr>
          <w:color w:val="1F2937"/>
          <w:sz w:val="22"/>
          <w:szCs w:val="22"/>
        </w:rPr>
        <w:t xml:space="preserve">Bijlage CU bevat het reconstructieverslag van de 200 dossiers.</w:t>
      </w:r>
    </w:p>
    <w:p>
      <w:pPr>
        <w:pStyle w:val="ListParagraph"/>
        <w:numPr>
          <w:ilvl w:val="0"/>
          <w:numId w:val="2"/>
        </w:numPr>
        <w:spacing w:after="100"/>
      </w:pPr>
      <w:r>
        <w:rPr>
          <w:b/>
          <w:bCs/>
          <w:color w:val="1F2937"/>
          <w:sz w:val="22"/>
          <w:szCs w:val="22"/>
        </w:rPr>
        <w:t xml:space="preserve">a)</w:t>
      </w:r>
      <w:r>
        <w:rPr>
          <w:color w:val="1F2937"/>
          <w:sz w:val="22"/>
          <w:szCs w:val="22"/>
        </w:rPr>
        <w:t xml:space="preserve"> Wat is het onderliggende mechanisme? Beschrijf het in twee zinnen, zonder jargon — dit moet ook door compliance en de directie begrepen worden.</w:t>
      </w:r>
    </w:p>
    <w:p>
      <w:pPr>
        <w:pStyle w:val="ListParagraph"/>
        <w:numPr>
          <w:ilvl w:val="0"/>
          <w:numId w:val="2"/>
        </w:numPr>
        <w:spacing w:after="100"/>
      </w:pPr>
      <w:r>
        <w:rPr>
          <w:b/>
          <w:bCs/>
          <w:color w:val="1F2937"/>
          <w:sz w:val="22"/>
          <w:szCs w:val="22"/>
        </w:rPr>
        <w:t xml:space="preserve">b)</w:t>
      </w:r>
      <w:r>
        <w:rPr>
          <w:color w:val="1F2937"/>
          <w:sz w:val="22"/>
          <w:szCs w:val="22"/>
        </w:rPr>
        <w:t xml:space="preserve"> Op basis van de steekproef: maak een eerste schatting van de totale omvang, met een bandbreedte in plaats van een precies getal.</w:t>
      </w:r>
    </w:p>
    <w:p>
      <w:pPr>
        <w:pStyle w:val="ListParagraph"/>
        <w:numPr>
          <w:ilvl w:val="0"/>
          <w:numId w:val="2"/>
        </w:numPr>
        <w:spacing w:after="100"/>
      </w:pPr>
      <w:r>
        <w:rPr>
          <w:b/>
          <w:bCs/>
          <w:color w:val="1F2937"/>
          <w:sz w:val="22"/>
          <w:szCs w:val="22"/>
        </w:rPr>
        <w:t xml:space="preserve">c)</w:t>
      </w:r>
      <w:r>
        <w:rPr>
          <w:color w:val="1F2937"/>
          <w:sz w:val="22"/>
          <w:szCs w:val="22"/>
        </w:rPr>
        <w:t xml:space="preserve"> Welke aanvullende, snelle controle zou u binnen twee dagen kunnen doen om de schatting te verstevigen zonder de volledige populatie door te rekenen?</w:t>
      </w:r>
    </w:p>
    <w:p>
      <w:pPr>
        <w:pStyle w:val="ListParagraph"/>
        <w:numPr>
          <w:ilvl w:val="0"/>
          <w:numId w:val="2"/>
        </w:numPr>
        <w:spacing w:after="100"/>
      </w:pPr>
      <w:r>
        <w:rPr>
          <w:b/>
          <w:bCs/>
          <w:color w:val="1F2937"/>
          <w:sz w:val="22"/>
          <w:szCs w:val="22"/>
        </w:rPr>
        <w:t xml:space="preserve">d)</w:t>
      </w:r>
      <w:r>
        <w:rPr>
          <w:color w:val="1F2937"/>
          <w:sz w:val="22"/>
          <w:szCs w:val="22"/>
        </w:rPr>
        <w:t xml:space="preserve"> Formuleer de eerste voorlopige melding, in maximaal 100 woorden, met de bandbreedte, de onzekerheid, en een vervolgtermijn.</w:t>
      </w:r>
    </w:p>
    <w:p>
      <w:pPr>
        <w:pStyle w:val="ListParagraph"/>
        <w:numPr>
          <w:ilvl w:val="0"/>
          <w:numId w:val="2"/>
        </w:numPr>
        <w:spacing w:after="100"/>
      </w:pPr>
      <w:r>
        <w:rPr>
          <w:b/>
          <w:bCs/>
          <w:color w:val="1F2937"/>
          <w:sz w:val="22"/>
          <w:szCs w:val="22"/>
        </w:rPr>
        <w:t xml:space="preserve">e)</w:t>
      </w:r>
      <w:r>
        <w:rPr>
          <w:color w:val="1F2937"/>
          <w:sz w:val="22"/>
          <w:szCs w:val="22"/>
        </w:rPr>
        <w:t xml:space="preserve"> Vergelijk uw formulering met de drie versies in bijlage CW. Welke lijkt op de uwe, en welke van de drie zou u afraden? Waarom?</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27.2</w:t>
            </w:r>
          </w:p>
          <w:p>
            <w:pPr>
              <w:spacing w:after="80"/>
            </w:pPr>
          </w:p>
          <w:p>
            <w:pPr>
              <w:spacing w:after="120" w:line="276"/>
            </w:pPr>
            <w:r>
              <w:rPr>
                <w:b/>
                <w:bCs/>
                <w:color w:val="1F2937"/>
                <w:sz w:val="21"/>
                <w:szCs w:val="21"/>
              </w:rPr>
              <w:t xml:space="preserve">a) Het mechanisme in twee zinnen: </w:t>
            </w:r>
            <w:r>
              <w:rPr>
                <w:color w:val="1F2937"/>
                <w:sz w:val="21"/>
                <w:szCs w:val="21"/>
              </w:rPr>
              <w:t xml:space="preserve">"Bij deelnemers die deeltijds werkten én vóór een bepaalde datum een waardeoverdracht hadden, berekende het oude systeem de opbouw op basis van het voltijdequivalent in plaats van het werkelijke deeltijdpercentage in die periode. Dit leidde afhankelijk van de richting van de waardeoverdracht tot een te hoge of te lage berekening."</w:t>
            </w:r>
          </w:p>
          <w:p>
            <w:pPr>
              <w:spacing w:after="120" w:line="276"/>
            </w:pPr>
            <w:r>
              <w:rPr>
                <w:b/>
                <w:bCs/>
                <w:color w:val="1F2937"/>
                <w:sz w:val="21"/>
                <w:szCs w:val="21"/>
              </w:rPr>
              <w:t xml:space="preserve">b) De bandbreedte.</w:t>
            </w:r>
            <w:r>
              <w:rPr>
                <w:color w:val="1F2937"/>
                <w:sz w:val="21"/>
                <w:szCs w:val="21"/>
              </w:rPr>
              <w:t xml:space="preserve"> Op basis van de steekproef van 200 uit een deelpopulatie, geëxtrapoleerd naar de volledige populatie van fonds B, komt een verdedigbare schatting uit op ongeveer 400 tot 800 dossiers — precies de bandbreedte die de reader noemt, en het is nuttig dat deelnemers die zelf onderbouwen in plaats van overnemen.</w:t>
            </w:r>
          </w:p>
          <w:p>
            <w:pPr>
              <w:spacing w:after="120" w:line="276"/>
            </w:pPr>
            <w:r>
              <w:rPr>
                <w:b/>
                <w:bCs/>
                <w:color w:val="1F2937"/>
                <w:sz w:val="21"/>
                <w:szCs w:val="21"/>
              </w:rPr>
              <w:t xml:space="preserve">c) De snelle aanvullende controle: </w:t>
            </w:r>
            <w:r>
              <w:rPr>
                <w:color w:val="1F2937"/>
                <w:sz w:val="21"/>
                <w:szCs w:val="21"/>
              </w:rPr>
              <w:t xml:space="preserve">een tweede, onafhankelijke steekproef uit een ander deel van de populatie (bijvoorbeeld een andere leeftijdscohort) om te toetsen of het patroon consistent is en niet toevallig geconcentreerd in de eerste steekproef.</w:t>
            </w:r>
          </w:p>
          <w:p>
            <w:pPr>
              <w:spacing w:after="120" w:line="276"/>
            </w:pPr>
            <w:r>
              <w:rPr>
                <w:b/>
                <w:bCs/>
                <w:color w:val="1F2937"/>
                <w:sz w:val="21"/>
                <w:szCs w:val="21"/>
              </w:rPr>
              <w:t xml:space="preserve">d) Een sterke voorlopige melding:</w:t>
            </w:r>
            <w:r>
              <w:rPr>
                <w:color w:val="1F2937"/>
                <w:sz w:val="21"/>
                <w:szCs w:val="21"/>
              </w:rPr>
              <w:t xml:space="preserve"/>
            </w:r>
          </w:p>
          <w:p>
            <w:pPr>
              <w:spacing w:after="120" w:line="276"/>
            </w:pPr>
            <w:r>
              <w:rPr>
                <w:i/>
                <w:iCs/>
                <w:color w:val="1F2937"/>
                <w:sz w:val="21"/>
                <w:szCs w:val="21"/>
              </w:rPr>
              <w:t xml:space="preserve">"Bij de migratie van fonds B is een historisch berekeningsverschil ontdekt tussen het oude en het nieuwe systeem, veroorzaakt door een fout in de verwerking van deeltijd in combinatie met waardeoverdracht. Eerste analyse wijst op een omvang van 400 tot 800 dossiers over de afgelopen twaalf jaar, met effecten in beide richtingen. Wij ronden binnen drie weken een volledige doorrekening af en informeren u dan met exacte aantallen en een hersteladvies."</w:t>
            </w:r>
          </w:p>
          <w:p>
            <w:pPr>
              <w:spacing w:after="120" w:line="276"/>
            </w:pPr>
            <w:r>
              <w:rPr>
                <w:b/>
                <w:bCs/>
                <w:color w:val="1F2937"/>
                <w:sz w:val="21"/>
                <w:szCs w:val="21"/>
              </w:rPr>
              <w:t xml:space="preserve">e) Bijlage CW</w:t>
            </w:r>
            <w:r>
              <w:rPr>
                <w:color w:val="1F2937"/>
                <w:sz w:val="21"/>
                <w:szCs w:val="21"/>
              </w:rPr>
              <w:t xml:space="preserve"> bevat drie versies: één te vaag ("er lijkt een historisch probleem te zijn, we kijken ernaar"), één te stellig ("er zijn 600 dossiers fout berekend" — een precisie die de steekproef niet rechtvaardigt), en één in de vorm van d).</w:t>
            </w:r>
          </w:p>
          <w:p>
            <w:pPr>
              <w:spacing w:after="120" w:line="276"/>
            </w:pPr>
            <w:r>
              <w:rPr>
                <w:color w:val="1F2937"/>
                <w:sz w:val="21"/>
                <w:szCs w:val="21"/>
              </w:rPr>
              <w:t xml:space="preserve">De te vage versie is af te raden omdat zij geen actie mogelijk maakt — de ontvanger weet niet of dit ernstig is. De te stellige versie is af te raden omdat zij een zekerheid suggereert die er nog niet is — als het definitieve aantal afwijkt, ondermijnt dat het vertrouwen in de rest van de communicatie.</w:t>
            </w:r>
          </w:p>
        </w:tc>
      </w:tr>
    </w:tbl>
    <w:p>
      <w:pPr>
        <w:spacing w:after="300"/>
      </w:pPr>
    </w:p>
    <w:p>
      <w:pPr>
        <w:pStyle w:val="Heading1"/>
        <w:pBdr>
          <w:bottom w:val="single" w:color="E5E7EB" w:sz="6" w:space="6"/>
        </w:pBdr>
        <w:spacing w:after="180" w:before="380"/>
      </w:pPr>
      <w:r>
        <w:rPr>
          <w:b/>
          <w:bCs/>
          <w:color w:val="1F3A5F"/>
          <w:sz w:val="30"/>
          <w:szCs w:val="30"/>
        </w:rPr>
        <w:t xml:space="preserve">Opdracht 27.3 — Ontwerpfout of gerealiseerd risico, twaalf jaar terug (duo's,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Welke informatie hebt u nodig om te bepalen of deze fout met de kennis en middelen van twaalf jaar geleden vermijdbaar was?</w:t>
      </w:r>
    </w:p>
    <w:p>
      <w:pPr>
        <w:pStyle w:val="ListParagraph"/>
        <w:numPr>
          <w:ilvl w:val="0"/>
          <w:numId w:val="2"/>
        </w:numPr>
        <w:spacing w:after="100"/>
      </w:pPr>
      <w:r>
        <w:rPr>
          <w:b/>
          <w:bCs/>
          <w:color w:val="1F2937"/>
          <w:sz w:val="22"/>
          <w:szCs w:val="22"/>
        </w:rPr>
        <w:t xml:space="preserve">b)</w:t>
      </w:r>
      <w:r>
        <w:rPr>
          <w:color w:val="1F2937"/>
          <w:sz w:val="22"/>
          <w:szCs w:val="22"/>
        </w:rPr>
        <w:t xml:space="preserve"> Bijlage CU vermeldt dat een vergelijkbaar randgeval twee jaar geleden al eens is gesignaleerd in een interne test en toen als "lage prioriteit" is afgesloten. Verandert dat uw antwoord? Hoe?</w:t>
      </w:r>
    </w:p>
    <w:p>
      <w:pPr>
        <w:pStyle w:val="ListParagraph"/>
        <w:numPr>
          <w:ilvl w:val="0"/>
          <w:numId w:val="2"/>
        </w:numPr>
        <w:spacing w:after="100"/>
      </w:pPr>
      <w:r>
        <w:rPr>
          <w:b/>
          <w:bCs/>
          <w:color w:val="1F2937"/>
          <w:sz w:val="22"/>
          <w:szCs w:val="22"/>
        </w:rPr>
        <w:t xml:space="preserve">c)</w:t>
      </w:r>
      <w:r>
        <w:rPr>
          <w:color w:val="1F2937"/>
          <w:sz w:val="22"/>
          <w:szCs w:val="22"/>
        </w:rPr>
        <w:t xml:space="preserve"> Wie beoordeelt uiteindelijk of dit een ontwerpfout of een gerealiseerd risico was? Wat is de rol van de architect daarin, precies?</w:t>
      </w:r>
    </w:p>
    <w:p>
      <w:pPr>
        <w:pStyle w:val="ListParagraph"/>
        <w:numPr>
          <w:ilvl w:val="0"/>
          <w:numId w:val="2"/>
        </w:numPr>
        <w:spacing w:after="100"/>
      </w:pPr>
      <w:r>
        <w:rPr>
          <w:b/>
          <w:bCs/>
          <w:color w:val="1F2937"/>
          <w:sz w:val="22"/>
          <w:szCs w:val="22"/>
        </w:rPr>
        <w:t xml:space="preserve">d)</w:t>
      </w:r>
      <w:r>
        <w:rPr>
          <w:color w:val="1F2937"/>
          <w:sz w:val="22"/>
          <w:szCs w:val="22"/>
        </w:rPr>
        <w:t xml:space="preserve"> Stel dat het onderzoek uitwijst dat de fout wél vermijdbaar was met destijds gangbare testpraktijk. Verandert dat wat de architect nu doet? Verandert het wat compliance doet?</w:t>
      </w:r>
    </w:p>
    <w:p>
      <w:pPr>
        <w:pStyle w:val="ListParagraph"/>
        <w:numPr>
          <w:ilvl w:val="0"/>
          <w:numId w:val="2"/>
        </w:numPr>
        <w:spacing w:after="100"/>
      </w:pPr>
      <w:r>
        <w:rPr>
          <w:b/>
          <w:bCs/>
          <w:color w:val="1F2937"/>
          <w:sz w:val="22"/>
          <w:szCs w:val="22"/>
        </w:rPr>
        <w:t xml:space="preserve">e)</w:t>
      </w:r>
      <w:r>
        <w:rPr>
          <w:color w:val="1F2937"/>
          <w:sz w:val="22"/>
          <w:szCs w:val="22"/>
        </w:rPr>
        <w:t xml:space="preserve"> De verleidingsvraag. Iemand in het team stelt voor om in het verslag te schrijven dat de combinatie "zeer zeldzaam en niet te voorzien" was, terwijl de reconstructie iets genuanceerder ligt. Wat doet u?</w:t>
      </w:r>
    </w:p>
    <w:p>
      <w:pPr>
        <w:spacing w:after="160" w:line="276"/>
      </w:pPr>
      <w:r>
        <w:rPr>
          <w:i/>
          <w:iCs/>
          <w:color w:val="1F2937"/>
          <w:sz w:val="22"/>
          <w:szCs w:val="22"/>
        </w:rPr>
        <w:t xml:space="preserve">Onderdeel e) is geen hypothetische verleiding — dit is precies waar de druk uit paragraaf 27.5 in de praktijk het eerst verschijnt: in de formulering van het technische verslag zelf.</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27.3</w:t>
            </w:r>
          </w:p>
          <w:p>
            <w:pPr>
              <w:spacing w:after="80"/>
            </w:pPr>
          </w:p>
          <w:p>
            <w:pPr>
              <w:spacing w:after="120" w:line="276"/>
            </w:pPr>
            <w:r>
              <w:rPr>
                <w:b/>
                <w:bCs/>
                <w:color w:val="1F2937"/>
                <w:sz w:val="21"/>
                <w:szCs w:val="21"/>
              </w:rPr>
              <w:t xml:space="preserve">a) Benodigde informatie: </w:t>
            </w:r>
            <w:r>
              <w:rPr>
                <w:color w:val="1F2937"/>
                <w:sz w:val="21"/>
                <w:szCs w:val="21"/>
              </w:rPr>
              <w:t xml:space="preserve">wat de gangbare testpraktijk was twaalf jaar geleden, of de combinatie deeltijd-plus-waardeoverdracht toen als risicovol bekendstond binnen de sector, en of er destijds al signalen waren — zoals het randgeval uit b).</w:t>
            </w:r>
          </w:p>
          <w:p>
            <w:pPr>
              <w:spacing w:after="120" w:line="276"/>
            </w:pPr>
            <w:r>
              <w:rPr>
                <w:b/>
                <w:bCs/>
                <w:color w:val="1F2937"/>
                <w:sz w:val="21"/>
                <w:szCs w:val="21"/>
              </w:rPr>
              <w:t xml:space="preserve">b) Het eerdere signaal verandert het antwoord aanzienlijk.</w:t>
            </w:r>
            <w:r>
              <w:rPr>
                <w:color w:val="1F2937"/>
                <w:sz w:val="21"/>
                <w:szCs w:val="21"/>
              </w:rPr>
              <w:t xml:space="preserve"> Een fout die nooit is opgemerkt, is anders te beoordelen dan een fout waarvan een randgeval al bekend was en bewust als lage prioriteit is weggezet. Dat tweede feit duwt de beoordeling richting "vermijdbaar" — niet omdat de oorspronkelijke bouwer nalatig was, maar omdat er een kans tot correctie is gemist.</w:t>
            </w:r>
          </w:p>
          <w:p>
            <w:pPr>
              <w:spacing w:after="120" w:line="276"/>
            </w:pPr>
            <w:r>
              <w:rPr>
                <w:b/>
                <w:bCs/>
                <w:color w:val="1F2937"/>
                <w:sz w:val="21"/>
                <w:szCs w:val="21"/>
              </w:rPr>
              <w:t xml:space="preserve">c) Wie beoordeelt.</w:t>
            </w:r>
            <w:r>
              <w:rPr>
                <w:color w:val="1F2937"/>
                <w:sz w:val="21"/>
                <w:szCs w:val="21"/>
              </w:rPr>
              <w:t xml:space="preserve"> Compliance, mogelijk met extern juridisch advies. De rol van de architect is precies: de reconstructie leveren — inclusief het ongemakkelijke feit van het eerdere signaal — zonder zelf het eindoordeel "vermijdbaar" of "niet vermijdbaar" te vellen.</w:t>
            </w:r>
          </w:p>
          <w:p>
            <w:pPr>
              <w:spacing w:after="120" w:line="276"/>
            </w:pPr>
            <w:r>
              <w:rPr>
                <w:color w:val="1F2937"/>
                <w:sz w:val="21"/>
                <w:szCs w:val="21"/>
              </w:rPr>
              <w:t xml:space="preserve">Dit is een subtiel maar belangrijk onderscheid: de architect mag best zijn eigen inschatting delen als daarom wordt gevraagd, maar hij presenteert die als inschatting en niet als vaststaand oordeel — en hij zorgt vooral dat het volledige feitenbeeld, inclusief het ongemakkelijke deel, bij de beoordelaars terechtkomt.</w:t>
            </w:r>
          </w:p>
          <w:p>
            <w:pPr>
              <w:spacing w:after="120" w:line="276"/>
            </w:pPr>
            <w:r>
              <w:rPr>
                <w:b/>
                <w:bCs/>
                <w:color w:val="1F2937"/>
                <w:sz w:val="21"/>
                <w:szCs w:val="21"/>
              </w:rPr>
              <w:t xml:space="preserve">d) Verandert het wat er gebeurt?</w:t>
            </w:r>
            <w:r>
              <w:rPr>
                <w:color w:val="1F2937"/>
                <w:sz w:val="21"/>
                <w:szCs w:val="21"/>
              </w:rPr>
              <w:t xml:space="preserve"> Voor de architect verandert er weinig aan zijn taak — hij blijft de feiten leveren. Voor compliance verandert het waarschijnlijk de toon en mogelijk de omvang van het financiële herstel en de externe verantwoording — een vermijdbare fout met een gemist eerder signaal vraagt een andere erkenning dan een fout die met de kennis van toen niet te zien was.</w:t>
            </w:r>
          </w:p>
          <w:p>
            <w:pPr>
              <w:spacing w:after="120" w:line="276"/>
            </w:pPr>
            <w:r>
              <w:rPr>
                <w:b/>
                <w:bCs/>
                <w:color w:val="1F2937"/>
                <w:sz w:val="21"/>
                <w:szCs w:val="21"/>
              </w:rPr>
              <w:t xml:space="preserve">e) De verleidingsvraag — het scherpste punt van de opdracht.</w:t>
            </w:r>
            <w:r>
              <w:rPr>
                <w:color w:val="1F2937"/>
                <w:sz w:val="21"/>
                <w:szCs w:val="21"/>
              </w:rPr>
              <w:t xml:space="preserve"/>
            </w:r>
          </w:p>
          <w:p>
            <w:pPr>
              <w:spacing w:after="120" w:line="276"/>
            </w:pPr>
            <w:r>
              <w:rPr>
                <w:color w:val="1F2937"/>
                <w:sz w:val="21"/>
                <w:szCs w:val="21"/>
              </w:rPr>
              <w:t xml:space="preserve">Het antwoord moet ondubbelzinnig zijn: het randgeval en de eerdere signalering horen in het verslag, ook al maakt dat de kwestie zwaarder. Dit is precies wat paragraaf 27.4 bedoelt met "niet meewerken aan het verkleinen van de fout in de beschrijving."</w:t>
            </w:r>
          </w:p>
          <w:p>
            <w:pPr>
              <w:spacing w:after="120" w:line="276"/>
            </w:pPr>
            <w:r>
              <w:rPr>
                <w:i/>
                <w:iCs/>
                <w:color w:val="1F2937"/>
                <w:sz w:val="21"/>
                <w:szCs w:val="21"/>
              </w:rPr>
              <w:t xml:space="preserve">Een verdedigbare formulering aan de collega die het voorstelde: "Ik snap de impuls, en ik kan het niet zo opschrijven. Als dit later boven water komt — en bij een reconstructie van twaalf jaar is dat waarschijnlijk — dan is het feit dat wij het wisten en het verzwegen hebben een veel ernstiger probleem dan het oorspronkelijke randgeval."</w:t>
            </w:r>
          </w:p>
          <w:p>
            <w:pPr>
              <w:spacing w:after="120" w:line="276"/>
            </w:pPr>
            <w:r>
              <w:rPr>
                <w:color w:val="1F2937"/>
                <w:sz w:val="21"/>
                <w:szCs w:val="21"/>
              </w:rPr>
              <w:t xml:space="preserve">Dit is de kern van integriteit in architectenwerk: niet het vermijden van fouten — die zijn er altijd — maar het eerlijk beschrijven ervan, ook onder druk van collega's die het beste voorhebben met de organisatie.</w:t>
            </w:r>
          </w:p>
        </w:tc>
      </w:tr>
    </w:tbl>
    <w:p>
      <w:pPr>
        <w:spacing w:after="300"/>
      </w:pPr>
    </w:p>
    <w:p>
      <w:pPr>
        <w:pStyle w:val="Heading1"/>
        <w:pBdr>
          <w:bottom w:val="single" w:color="E5E7EB" w:sz="6" w:space="6"/>
        </w:pBdr>
        <w:spacing w:after="180" w:before="380"/>
      </w:pPr>
      <w:r>
        <w:rPr>
          <w:b/>
          <w:bCs/>
          <w:color w:val="1F3A5F"/>
          <w:sz w:val="30"/>
          <w:szCs w:val="30"/>
        </w:rPr>
        <w:t xml:space="preserve">Opdracht 27.4 — Herkennen van de druk om te bagatelliseren (individueel, 20 minuten)</w:t>
      </w:r>
    </w:p>
    <w:p>
      <w:pPr>
        <w:spacing w:after="160" w:line="276"/>
      </w:pPr>
      <w:r>
        <w:rPr>
          <w:color w:val="1F2937"/>
          <w:sz w:val="22"/>
          <w:szCs w:val="22"/>
        </w:rPr>
        <w:t xml:space="preserve">Beoordeel per uitspraak of zij een legitieme zorgvuldigheidsvraag is, een vertragingstactiek, of allebei tegelijk — en wat u in elk geval doet.</w:t>
      </w:r>
    </w:p>
    <w:p>
      <w:pPr>
        <w:pStyle w:val="ListParagraph"/>
        <w:numPr>
          <w:ilvl w:val="0"/>
          <w:numId w:val="3"/>
        </w:numPr>
        <w:spacing w:after="120"/>
      </w:pPr>
      <w:r>
        <w:rPr>
          <w:color w:val="1F2937"/>
          <w:sz w:val="22"/>
          <w:szCs w:val="22"/>
        </w:rPr>
        <w:t xml:space="preserve">"Laten we eerst zeker weten dat het geen fout in onze eigen vergelijking is."</w:t>
      </w:r>
    </w:p>
    <w:p>
      <w:pPr>
        <w:pStyle w:val="ListParagraph"/>
        <w:numPr>
          <w:ilvl w:val="0"/>
          <w:numId w:val="3"/>
        </w:numPr>
        <w:spacing w:after="120"/>
      </w:pPr>
      <w:r>
        <w:rPr>
          <w:color w:val="1F2937"/>
          <w:sz w:val="22"/>
          <w:szCs w:val="22"/>
        </w:rPr>
        <w:t xml:space="preserve">"Laten we wachten tot we de volledige lijst hebben voordat we iets zeggen."</w:t>
      </w:r>
    </w:p>
    <w:p>
      <w:pPr>
        <w:pStyle w:val="ListParagraph"/>
        <w:numPr>
          <w:ilvl w:val="0"/>
          <w:numId w:val="3"/>
        </w:numPr>
        <w:spacing w:after="120"/>
      </w:pPr>
      <w:r>
        <w:rPr>
          <w:color w:val="1F2937"/>
          <w:sz w:val="22"/>
          <w:szCs w:val="22"/>
        </w:rPr>
        <w:t xml:space="preserve">"Dit soort dingen gebeurt overal, laten we het niet groter maken dan het is."</w:t>
      </w:r>
    </w:p>
    <w:p>
      <w:pPr>
        <w:pStyle w:val="ListParagraph"/>
        <w:numPr>
          <w:ilvl w:val="0"/>
          <w:numId w:val="3"/>
        </w:numPr>
        <w:spacing w:after="120"/>
      </w:pPr>
      <w:r>
        <w:rPr>
          <w:color w:val="1F2937"/>
          <w:sz w:val="22"/>
          <w:szCs w:val="22"/>
        </w:rPr>
        <w:t xml:space="preserve">"We moeten dit eerst met de eigen jurist bespreken voordat er iets naar buiten gaat."</w:t>
      </w:r>
    </w:p>
    <w:p>
      <w:pPr>
        <w:pStyle w:val="ListParagraph"/>
        <w:numPr>
          <w:ilvl w:val="0"/>
          <w:numId w:val="3"/>
        </w:numPr>
        <w:spacing w:after="120"/>
      </w:pPr>
      <w:r>
        <w:rPr>
          <w:color w:val="1F2937"/>
          <w:sz w:val="22"/>
          <w:szCs w:val="22"/>
        </w:rPr>
        <w:t xml:space="preserve">"600 dossiers op 85.000 is minder dan 1%, dat valt toch mee."</w:t>
      </w:r>
    </w:p>
    <w:p>
      <w:pPr>
        <w:pStyle w:val="ListParagraph"/>
        <w:numPr>
          <w:ilvl w:val="0"/>
          <w:numId w:val="3"/>
        </w:numPr>
        <w:spacing w:after="120"/>
      </w:pPr>
      <w:r>
        <w:rPr>
          <w:color w:val="1F2937"/>
          <w:sz w:val="22"/>
          <w:szCs w:val="22"/>
        </w:rPr>
        <w:t xml:space="preserve">"Laten we een taskforce instellen voordat we iets besluiten."</w:t>
      </w:r>
    </w:p>
    <w:p>
      <w:pPr>
        <w:spacing w:after="160" w:line="276"/>
      </w:pPr>
      <w:r>
        <w:rPr>
          <w:color w:val="1F2937"/>
          <w:sz w:val="22"/>
          <w:szCs w:val="22"/>
        </w:rPr>
        <w:t xml:space="preserve">Vervolgvraag: welke van deze zes hebt u zelf weleens gezegd of gehoord, in een andere context dan deze casus?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27.4</w:t>
            </w:r>
          </w:p>
          <w:p>
            <w:pPr>
              <w:spacing w:after="80"/>
            </w:pPr>
          </w:p>
          <w:tbl>
            <w:tblPr>
              <w:tblW w:type="dxa" w:w="94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700"/>
              <w:gridCol w:w="3200"/>
              <w:gridCol w:w="5500"/>
            </w:tblGrid>
            <w:tr>
              <w:trPr>
                <w:tblHeader/>
              </w:trPr>
              <w:tc>
                <w:tcPr>
                  <w:tcW w:type="dxa" w:w="700"/>
                  <w:shd w:fill="1F3A5F" w:val="clear"/>
                  <w:tcMar>
                    <w:top w:type="dxa" w:w="100"/>
                    <w:left w:type="dxa" w:w="120"/>
                    <w:bottom w:type="dxa" w:w="100"/>
                    <w:right w:type="dxa" w:w="120"/>
                  </w:tcMar>
                  <w:vAlign w:val="center"/>
                </w:tcPr>
                <w:p>
                  <w:r>
                    <w:rPr>
                      <w:b/>
                      <w:bCs/>
                      <w:color w:val="FFFFFF"/>
                      <w:sz w:val="19"/>
                      <w:szCs w:val="19"/>
                    </w:rPr>
                    <w:t xml:space="preserve">#</w:t>
                  </w:r>
                </w:p>
              </w:tc>
              <w:tc>
                <w:tcPr>
                  <w:tcW w:type="dxa" w:w="3200"/>
                  <w:shd w:fill="1F3A5F" w:val="clear"/>
                  <w:tcMar>
                    <w:top w:type="dxa" w:w="100"/>
                    <w:left w:type="dxa" w:w="120"/>
                    <w:bottom w:type="dxa" w:w="100"/>
                    <w:right w:type="dxa" w:w="120"/>
                  </w:tcMar>
                  <w:vAlign w:val="center"/>
                </w:tcPr>
                <w:p>
                  <w:r>
                    <w:rPr>
                      <w:b/>
                      <w:bCs/>
                      <w:color w:val="FFFFFF"/>
                      <w:sz w:val="19"/>
                      <w:szCs w:val="19"/>
                    </w:rPr>
                    <w:t xml:space="preserve">Aard</w:t>
                  </w:r>
                </w:p>
              </w:tc>
              <w:tc>
                <w:tcPr>
                  <w:tcW w:type="dxa" w:w="5500"/>
                  <w:shd w:fill="1F3A5F" w:val="clear"/>
                  <w:tcMar>
                    <w:top w:type="dxa" w:w="100"/>
                    <w:left w:type="dxa" w:w="120"/>
                    <w:bottom w:type="dxa" w:w="100"/>
                    <w:right w:type="dxa" w:w="120"/>
                  </w:tcMar>
                  <w:vAlign w:val="center"/>
                </w:tcPr>
                <w:p>
                  <w:r>
                    <w:rPr>
                      <w:b/>
                      <w:bCs/>
                      <w:color w:val="FFFFFF"/>
                      <w:sz w:val="19"/>
                      <w:szCs w:val="19"/>
                    </w:rPr>
                    <w:t xml:space="preserve">Wat u doet</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1</w:t>
                  </w:r>
                </w:p>
              </w:tc>
              <w:tc>
                <w:tcPr>
                  <w:tcW w:type="dxa" w:w="3200"/>
                  <w:tcMar>
                    <w:top w:type="dxa" w:w="100"/>
                    <w:left w:type="dxa" w:w="120"/>
                    <w:bottom w:type="dxa" w:w="100"/>
                    <w:right w:type="dxa" w:w="120"/>
                  </w:tcMar>
                  <w:vAlign w:val="center"/>
                </w:tcPr>
                <w:p>
                  <w:r>
                    <w:rPr>
                      <w:b w:val="false"/>
                      <w:bCs w:val="false"/>
                      <w:color w:val="1F2937"/>
                      <w:sz w:val="19"/>
                      <w:szCs w:val="19"/>
                    </w:rPr>
                    <w:t xml:space="preserve">Legitiem, mits kort</w:t>
                  </w:r>
                </w:p>
              </w:tc>
              <w:tc>
                <w:tcPr>
                  <w:tcW w:type="dxa" w:w="5500"/>
                  <w:tcMar>
                    <w:top w:type="dxa" w:w="100"/>
                    <w:left w:type="dxa" w:w="120"/>
                    <w:bottom w:type="dxa" w:w="100"/>
                    <w:right w:type="dxa" w:w="120"/>
                  </w:tcMar>
                  <w:vAlign w:val="center"/>
                </w:tcPr>
                <w:p>
                  <w:r>
                    <w:rPr>
                      <w:b w:val="false"/>
                      <w:bCs w:val="false"/>
                      <w:color w:val="1F2937"/>
                      <w:sz w:val="19"/>
                      <w:szCs w:val="19"/>
                    </w:rPr>
                    <w:t xml:space="preserve">Doe de controle binnen dagen, niet weken — zie opdracht 27.2c</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2</w:t>
                  </w:r>
                </w:p>
              </w:tc>
              <w:tc>
                <w:tcPr>
                  <w:tcW w:type="dxa" w:w="3200"/>
                  <w:tcMar>
                    <w:top w:type="dxa" w:w="100"/>
                    <w:left w:type="dxa" w:w="120"/>
                    <w:bottom w:type="dxa" w:w="100"/>
                    <w:right w:type="dxa" w:w="120"/>
                  </w:tcMar>
                  <w:vAlign w:val="center"/>
                </w:tcPr>
                <w:p>
                  <w:r>
                    <w:rPr>
                      <w:b w:val="false"/>
                      <w:bCs w:val="false"/>
                      <w:color w:val="1F2937"/>
                      <w:sz w:val="19"/>
                      <w:szCs w:val="19"/>
                    </w:rPr>
                    <w:t xml:space="preserve">Vertragingstactiek</w:t>
                  </w:r>
                </w:p>
              </w:tc>
              <w:tc>
                <w:tcPr>
                  <w:tcW w:type="dxa" w:w="5500"/>
                  <w:tcMar>
                    <w:top w:type="dxa" w:w="100"/>
                    <w:left w:type="dxa" w:w="120"/>
                    <w:bottom w:type="dxa" w:w="100"/>
                    <w:right w:type="dxa" w:w="120"/>
                  </w:tcMar>
                  <w:vAlign w:val="center"/>
                </w:tcPr>
                <w:p>
                  <w:r>
                    <w:rPr>
                      <w:b w:val="false"/>
                      <w:bCs w:val="false"/>
                      <w:color w:val="1F2937"/>
                      <w:sz w:val="19"/>
                      <w:szCs w:val="19"/>
                    </w:rPr>
                    <w:t xml:space="preserve">De voorlopige melding met bandbreedte bestaat juist hiervoor</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3</w:t>
                  </w:r>
                </w:p>
              </w:tc>
              <w:tc>
                <w:tcPr>
                  <w:tcW w:type="dxa" w:w="3200"/>
                  <w:tcMar>
                    <w:top w:type="dxa" w:w="100"/>
                    <w:left w:type="dxa" w:w="120"/>
                    <w:bottom w:type="dxa" w:w="100"/>
                    <w:right w:type="dxa" w:w="120"/>
                  </w:tcMar>
                  <w:vAlign w:val="center"/>
                </w:tcPr>
                <w:p>
                  <w:r>
                    <w:rPr>
                      <w:b w:val="false"/>
                      <w:bCs w:val="false"/>
                      <w:color w:val="1F2937"/>
                      <w:sz w:val="19"/>
                      <w:szCs w:val="19"/>
                    </w:rPr>
                    <w:t xml:space="preserve">Bagatellisering</w:t>
                  </w:r>
                </w:p>
              </w:tc>
              <w:tc>
                <w:tcPr>
                  <w:tcW w:type="dxa" w:w="5500"/>
                  <w:tcMar>
                    <w:top w:type="dxa" w:w="100"/>
                    <w:left w:type="dxa" w:w="120"/>
                    <w:bottom w:type="dxa" w:w="100"/>
                    <w:right w:type="dxa" w:w="120"/>
                  </w:tcMar>
                  <w:vAlign w:val="center"/>
                </w:tcPr>
                <w:p>
                  <w:r>
                    <w:rPr>
                      <w:b w:val="false"/>
                      <w:bCs w:val="false"/>
                      <w:color w:val="1F2937"/>
                      <w:sz w:val="19"/>
                      <w:szCs w:val="19"/>
                    </w:rPr>
                    <w:t xml:space="preserve">Vergelijking met "overal" verandert niets aan deze specifieke situatie en deze specifieke deelnemers</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4</w:t>
                  </w:r>
                </w:p>
              </w:tc>
              <w:tc>
                <w:tcPr>
                  <w:tcW w:type="dxa" w:w="3200"/>
                  <w:tcMar>
                    <w:top w:type="dxa" w:w="100"/>
                    <w:left w:type="dxa" w:w="120"/>
                    <w:bottom w:type="dxa" w:w="100"/>
                    <w:right w:type="dxa" w:w="120"/>
                  </w:tcMar>
                  <w:vAlign w:val="center"/>
                </w:tcPr>
                <w:p>
                  <w:r>
                    <w:rPr>
                      <w:b w:val="false"/>
                      <w:bCs w:val="false"/>
                      <w:color w:val="1F2937"/>
                      <w:sz w:val="19"/>
                      <w:szCs w:val="19"/>
                    </w:rPr>
                    <w:t xml:space="preserve">Legitiem, mits geen vertraging van de interne melding</w:t>
                  </w:r>
                </w:p>
              </w:tc>
              <w:tc>
                <w:tcPr>
                  <w:tcW w:type="dxa" w:w="5500"/>
                  <w:tcMar>
                    <w:top w:type="dxa" w:w="100"/>
                    <w:left w:type="dxa" w:w="120"/>
                    <w:bottom w:type="dxa" w:w="100"/>
                    <w:right w:type="dxa" w:w="120"/>
                  </w:tcMar>
                  <w:vAlign w:val="center"/>
                </w:tcPr>
                <w:p>
                  <w:r>
                    <w:rPr>
                      <w:b w:val="false"/>
                      <w:bCs w:val="false"/>
                      <w:color w:val="1F2937"/>
                      <w:sz w:val="19"/>
                      <w:szCs w:val="19"/>
                    </w:rPr>
                    <w:t xml:space="preserve">Jurist raadplegen mag; de interne melding aan compliance en directie hoeft daar niet op te wachten</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5</w:t>
                  </w:r>
                </w:p>
              </w:tc>
              <w:tc>
                <w:tcPr>
                  <w:tcW w:type="dxa" w:w="3200"/>
                  <w:tcMar>
                    <w:top w:type="dxa" w:w="100"/>
                    <w:left w:type="dxa" w:w="120"/>
                    <w:bottom w:type="dxa" w:w="100"/>
                    <w:right w:type="dxa" w:w="120"/>
                  </w:tcMar>
                  <w:vAlign w:val="center"/>
                </w:tcPr>
                <w:p>
                  <w:r>
                    <w:rPr>
                      <w:b w:val="false"/>
                      <w:bCs w:val="false"/>
                      <w:color w:val="1F2937"/>
                      <w:sz w:val="19"/>
                      <w:szCs w:val="19"/>
                    </w:rPr>
                    <w:t xml:space="preserve">Bagatellisering door percentage</w:t>
                  </w:r>
                </w:p>
              </w:tc>
              <w:tc>
                <w:tcPr>
                  <w:tcW w:type="dxa" w:w="5500"/>
                  <w:tcMar>
                    <w:top w:type="dxa" w:w="100"/>
                    <w:left w:type="dxa" w:w="120"/>
                    <w:bottom w:type="dxa" w:w="100"/>
                    <w:right w:type="dxa" w:w="120"/>
                  </w:tcMar>
                  <w:vAlign w:val="center"/>
                </w:tcPr>
                <w:p>
                  <w:r>
                    <w:rPr>
                      <w:b w:val="false"/>
                      <w:bCs w:val="false"/>
                      <w:color w:val="1F2937"/>
                      <w:sz w:val="19"/>
                      <w:szCs w:val="19"/>
                    </w:rPr>
                    <w:t xml:space="preserve">600 individuele gedupeerden is geen percentage-vraag; elk dossier is een persoon</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6</w:t>
                  </w:r>
                </w:p>
              </w:tc>
              <w:tc>
                <w:tcPr>
                  <w:tcW w:type="dxa" w:w="3200"/>
                  <w:tcMar>
                    <w:top w:type="dxa" w:w="100"/>
                    <w:left w:type="dxa" w:w="120"/>
                    <w:bottom w:type="dxa" w:w="100"/>
                    <w:right w:type="dxa" w:w="120"/>
                  </w:tcMar>
                  <w:vAlign w:val="center"/>
                </w:tcPr>
                <w:p>
                  <w:r>
                    <w:rPr>
                      <w:b w:val="false"/>
                      <w:bCs w:val="false"/>
                      <w:color w:val="1F2937"/>
                      <w:sz w:val="19"/>
                      <w:szCs w:val="19"/>
                    </w:rPr>
                    <w:t xml:space="preserve">Kan beide zijn</w:t>
                  </w:r>
                </w:p>
              </w:tc>
              <w:tc>
                <w:tcPr>
                  <w:tcW w:type="dxa" w:w="5500"/>
                  <w:tcMar>
                    <w:top w:type="dxa" w:w="100"/>
                    <w:left w:type="dxa" w:w="120"/>
                    <w:bottom w:type="dxa" w:w="100"/>
                    <w:right w:type="dxa" w:w="120"/>
                  </w:tcMar>
                  <w:vAlign w:val="center"/>
                </w:tcPr>
                <w:p>
                  <w:r>
                    <w:rPr>
                      <w:b w:val="false"/>
                      <w:bCs w:val="false"/>
                      <w:color w:val="1F2937"/>
                      <w:sz w:val="19"/>
                      <w:szCs w:val="19"/>
                    </w:rPr>
                    <w:t xml:space="preserve">Een taskforce kan zinvol gestructureerd handelen zijn, of een manier om besluitvorming te vertragen — het verschil zit in of de taskforce een deadline en een mandaat krijgt</w:t>
                  </w:r>
                </w:p>
              </w:tc>
            </w:tr>
          </w:tbl>
          <w:p>
            <w:pPr>
              <w:spacing w:after="100"/>
            </w:pPr>
          </w:p>
          <w:p>
            <w:pPr>
              <w:spacing w:after="120" w:line="276"/>
            </w:pPr>
            <w:r>
              <w:rPr>
                <w:b/>
                <w:bCs/>
                <w:color w:val="1F2937"/>
                <w:sz w:val="21"/>
                <w:szCs w:val="21"/>
              </w:rPr>
              <w:t xml:space="preserve">Vervolgvraag.</w:t>
            </w:r>
            <w:r>
              <w:rPr>
                <w:color w:val="1F2937"/>
                <w:sz w:val="21"/>
                <w:szCs w:val="21"/>
              </w:rPr>
              <w:t xml:space="preserve"> Nummer 5 (het percentage-argument) wordt door de meeste deelnemers herkend als iets dat zij zelf ooit hebben gehoord of gezegd, in uiteenlopende contexten. Dat herkenningsmoment is waardevol: het toont dat bagatellisering zelden kwaadaardig bedoeld is en juist daarom moeilijk te herkennen is op het moment zelf.</w:t>
            </w:r>
          </w:p>
        </w:tc>
      </w:tr>
    </w:tbl>
    <w:p>
      <w:pPr>
        <w:spacing w:after="300"/>
      </w:pPr>
    </w:p>
    <w:p>
      <w:pPr>
        <w:pStyle w:val="Heading1"/>
        <w:pBdr>
          <w:bottom w:val="single" w:color="E5E7EB" w:sz="6" w:space="6"/>
        </w:pBdr>
        <w:spacing w:after="180" w:before="380"/>
      </w:pPr>
      <w:r>
        <w:rPr>
          <w:b/>
          <w:bCs/>
          <w:color w:val="1F3A5F"/>
          <w:sz w:val="30"/>
          <w:szCs w:val="30"/>
        </w:rPr>
        <w:t xml:space="preserve">Opdracht 27.5 — Het rollenspel: de druk (groepen van drie, 35 minuten)</w:t>
      </w:r>
    </w:p>
    <w:p>
      <w:pPr>
        <w:spacing w:after="160" w:line="276"/>
      </w:pPr>
      <w:r>
        <w:rPr>
          <w:color w:val="1F2937"/>
          <w:sz w:val="22"/>
          <w:szCs w:val="22"/>
        </w:rPr>
        <w:t xml:space="preserve">Bijlage CY. Architect, directielid, compliance officer (of: twee van de drie plus observator, roulerend).</w:t>
      </w:r>
    </w:p>
    <w:p>
      <w:pPr>
        <w:pStyle w:val="ListParagraph"/>
        <w:numPr>
          <w:ilvl w:val="0"/>
          <w:numId w:val="2"/>
        </w:numPr>
        <w:spacing w:after="100"/>
      </w:pPr>
      <w:r>
        <w:rPr>
          <w:b/>
          <w:bCs/>
          <w:color w:val="1F2937"/>
          <w:sz w:val="22"/>
          <w:szCs w:val="22"/>
        </w:rPr>
        <w:t xml:space="preserve">Het directielid</w:t>
      </w:r>
      <w:r>
        <w:rPr>
          <w:color w:val="1F2937"/>
          <w:sz w:val="22"/>
          <w:szCs w:val="22"/>
        </w:rPr>
        <w:t xml:space="preserve"> wil de zaak beheersbaar houden — niet uit kwade wil, maar uit zorg over de reputatie van Meridiaan en de relatie met fonds B. Gebruikt achtereenvolgens de zes uitspraken uit opdracht 27.4, in willekeurige volgorde.</w:t>
      </w:r>
    </w:p>
    <w:p>
      <w:pPr>
        <w:pStyle w:val="ListParagraph"/>
        <w:numPr>
          <w:ilvl w:val="0"/>
          <w:numId w:val="2"/>
        </w:numPr>
        <w:spacing w:after="100"/>
      </w:pPr>
      <w:r>
        <w:rPr>
          <w:b/>
          <w:bCs/>
          <w:color w:val="1F2937"/>
          <w:sz w:val="22"/>
          <w:szCs w:val="22"/>
        </w:rPr>
        <w:t xml:space="preserve">De architect</w:t>
      </w:r>
      <w:r>
        <w:rPr>
          <w:color w:val="1F2937"/>
          <w:sz w:val="22"/>
          <w:szCs w:val="22"/>
        </w:rPr>
        <w:t xml:space="preserve"> houdt vast aan: eerlijke, tijdige, voorlopige melding; het onderscheid feit versus oordeel; de DNB-toets.</w:t>
      </w:r>
    </w:p>
    <w:p>
      <w:pPr>
        <w:pStyle w:val="ListParagraph"/>
        <w:numPr>
          <w:ilvl w:val="0"/>
          <w:numId w:val="2"/>
        </w:numPr>
        <w:spacing w:after="100"/>
      </w:pPr>
      <w:r>
        <w:rPr>
          <w:b/>
          <w:bCs/>
          <w:color w:val="1F2937"/>
          <w:sz w:val="22"/>
          <w:szCs w:val="22"/>
        </w:rPr>
        <w:t xml:space="preserve">De compliance officer</w:t>
      </w:r>
      <w:r>
        <w:rPr>
          <w:color w:val="1F2937"/>
          <w:sz w:val="22"/>
          <w:szCs w:val="22"/>
        </w:rPr>
        <w:t xml:space="preserve"> (indien aanwezig) toetst of de meldtermijn wordt gehaald.</w:t>
      </w:r>
    </w:p>
    <w:p>
      <w:pPr>
        <w:spacing w:after="160" w:line="276"/>
      </w:pPr>
      <w:r>
        <w:rPr>
          <w:color w:val="1F2937"/>
          <w:sz w:val="22"/>
          <w:szCs w:val="22"/>
        </w:rPr>
        <w:t xml:space="preserve">Na afloop: welke van de zes uitspraken was het lastigst om te weerstaan, en waarom precies die?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27.5</w:t>
            </w:r>
          </w:p>
          <w:p>
            <w:pPr>
              <w:spacing w:after="80"/>
            </w:pPr>
          </w:p>
          <w:p>
            <w:pPr>
              <w:spacing w:after="120" w:line="276"/>
            </w:pPr>
            <w:r>
              <w:rPr>
                <w:color w:val="1F2937"/>
                <w:sz w:val="21"/>
                <w:szCs w:val="21"/>
              </w:rPr>
              <w:t xml:space="preserve">Geen modelantwoord. Waarop u let:</w:t>
            </w:r>
          </w:p>
          <w:p>
            <w:pPr>
              <w:spacing w:after="120" w:line="276"/>
            </w:pPr>
            <w:r>
              <w:rPr>
                <w:b/>
                <w:bCs/>
                <w:color w:val="1F2937"/>
                <w:sz w:val="21"/>
                <w:szCs w:val="21"/>
              </w:rPr>
              <w:t xml:space="preserve">De volgorde van de zes uitspraken test verschillende dingen.</w:t>
            </w:r>
            <w:r>
              <w:rPr>
                <w:color w:val="1F2937"/>
                <w:sz w:val="21"/>
                <w:szCs w:val="21"/>
              </w:rPr>
              <w:t xml:space="preserve"> Uitspraak 1 en 4 zijn het lastigst te weerstaan omdat zij deels legitiem zijn — de architect moet ze niet volledig afwijzen maar wel begrenzen ("ja, en dat mag geen weken duren").</w:t>
            </w:r>
          </w:p>
          <w:p>
            <w:pPr>
              <w:spacing w:after="120" w:line="276"/>
            </w:pPr>
            <w:r>
              <w:rPr>
                <w:b/>
                <w:bCs/>
                <w:color w:val="1F2937"/>
                <w:sz w:val="21"/>
                <w:szCs w:val="21"/>
              </w:rPr>
              <w:t xml:space="preserve">Uitspraak 5 (het percentage) is emotioneel het lastigst,</w:t>
            </w:r>
            <w:r>
              <w:rPr>
                <w:color w:val="1F2937"/>
                <w:sz w:val="21"/>
                <w:szCs w:val="21"/>
              </w:rPr>
              <w:t xml:space="preserve"> omdat zij klinkt als geruststelling en niet als druk. Observatoren zien vaak dat de architect hier meegaat in de toon ("ja, het is relatief beperkt") zonder de tegenwerping te maken dat het om individuele mensen gaat.</w:t>
            </w:r>
          </w:p>
          <w:p>
            <w:pPr>
              <w:spacing w:after="120" w:line="276"/>
            </w:pPr>
            <w:r>
              <w:rPr>
                <w:b/>
                <w:bCs/>
                <w:color w:val="1F2937"/>
                <w:sz w:val="21"/>
                <w:szCs w:val="21"/>
              </w:rPr>
              <w:t xml:space="preserve">De sterke tegenwerping op uitspraak 5: </w:t>
            </w:r>
            <w:r>
              <w:rPr>
                <w:color w:val="1F2937"/>
                <w:sz w:val="21"/>
                <w:szCs w:val="21"/>
              </w:rPr>
              <w:t xml:space="preserve">"Statistisch is het klein. Voor de 600 mensen om wie het gaat, is het honderd procent."</w:t>
            </w:r>
          </w:p>
        </w:tc>
      </w:tr>
    </w:tbl>
    <w:p>
      <w:pPr>
        <w:spacing w:after="300"/>
      </w:pPr>
    </w:p>
    <w:p>
      <w:pPr>
        <w:pStyle w:val="Heading1"/>
        <w:pBdr>
          <w:bottom w:val="single" w:color="E5E7EB" w:sz="6" w:space="6"/>
        </w:pBdr>
        <w:spacing w:after="180" w:before="380"/>
      </w:pPr>
      <w:r>
        <w:rPr>
          <w:b/>
          <w:bCs/>
          <w:color w:val="1F3A5F"/>
          <w:sz w:val="30"/>
          <w:szCs w:val="30"/>
        </w:rPr>
        <w:t xml:space="preserve">Opdracht 27.6 — Vier sectorcasussen (groepen van vier, 30 minuten)</w:t>
      </w:r>
    </w:p>
    <w:p>
      <w:pPr>
        <w:spacing w:after="160" w:line="276"/>
      </w:pPr>
      <w:r>
        <w:rPr>
          <w:color w:val="1F2937"/>
          <w:sz w:val="22"/>
          <w:szCs w:val="22"/>
        </w:rPr>
        <w:t xml:space="preserve">Bijlage CX.</w:t>
      </w:r>
    </w:p>
    <w:p>
      <w:pPr>
        <w:spacing w:after="160" w:line="276"/>
      </w:pPr>
      <w:r>
        <w:rPr>
          <w:color w:val="1F2937"/>
          <w:sz w:val="22"/>
          <w:szCs w:val="22"/>
        </w:rPr>
        <w:t xml:space="preserve">Bepaal per casus:</w:t>
      </w:r>
    </w:p>
    <w:p>
      <w:pPr>
        <w:pStyle w:val="ListParagraph"/>
        <w:numPr>
          <w:ilvl w:val="0"/>
          <w:numId w:val="2"/>
        </w:numPr>
        <w:spacing w:after="100"/>
      </w:pPr>
      <w:r>
        <w:rPr>
          <w:b/>
          <w:bCs/>
          <w:color w:val="1F2937"/>
          <w:sz w:val="22"/>
          <w:szCs w:val="22"/>
        </w:rPr>
        <w:t xml:space="preserve">a)</w:t>
      </w:r>
      <w:r>
        <w:rPr>
          <w:color w:val="1F2937"/>
          <w:sz w:val="22"/>
          <w:szCs w:val="22"/>
        </w:rPr>
        <w:t xml:space="preserve"> Werd hier op tijd gemeld, gemeten vanaf redelijk vermoeden?</w:t>
      </w:r>
    </w:p>
    <w:p>
      <w:pPr>
        <w:pStyle w:val="ListParagraph"/>
        <w:numPr>
          <w:ilvl w:val="0"/>
          <w:numId w:val="2"/>
        </w:numPr>
        <w:spacing w:after="100"/>
      </w:pPr>
      <w:r>
        <w:rPr>
          <w:b/>
          <w:bCs/>
          <w:color w:val="1F2937"/>
          <w:sz w:val="22"/>
          <w:szCs w:val="22"/>
        </w:rPr>
        <w:t xml:space="preserve">b)</w:t>
      </w:r>
      <w:r>
        <w:rPr>
          <w:color w:val="1F2937"/>
          <w:sz w:val="22"/>
          <w:szCs w:val="22"/>
        </w:rPr>
        <w:t xml:space="preserve"> Werd het onderscheid technisch/compliance/bestuurlijk gerespecteerd, of nam iemand een rol over die niet de zijne was?</w:t>
      </w:r>
    </w:p>
    <w:p>
      <w:pPr>
        <w:pStyle w:val="ListParagraph"/>
        <w:numPr>
          <w:ilvl w:val="0"/>
          <w:numId w:val="2"/>
        </w:numPr>
        <w:spacing w:after="100"/>
      </w:pPr>
      <w:r>
        <w:rPr>
          <w:b/>
          <w:bCs/>
          <w:color w:val="1F2937"/>
          <w:sz w:val="22"/>
          <w:szCs w:val="22"/>
        </w:rPr>
        <w:t xml:space="preserve">c)</w:t>
      </w:r>
      <w:r>
        <w:rPr>
          <w:color w:val="1F2937"/>
          <w:sz w:val="22"/>
          <w:szCs w:val="22"/>
        </w:rPr>
        <w:t xml:space="preserve"> Wat was de rol van de architect specifiek, en bleef hij binnen zijn grenzen?</w:t>
      </w:r>
    </w:p>
    <w:p>
      <w:pPr>
        <w:pStyle w:val="ListParagraph"/>
        <w:numPr>
          <w:ilvl w:val="0"/>
          <w:numId w:val="2"/>
        </w:numPr>
        <w:spacing w:after="100"/>
      </w:pPr>
      <w:r>
        <w:rPr>
          <w:b/>
          <w:bCs/>
          <w:color w:val="1F2937"/>
          <w:sz w:val="22"/>
          <w:szCs w:val="22"/>
        </w:rPr>
        <w:t xml:space="preserve">d)</w:t>
      </w:r>
      <w:r>
        <w:rPr>
          <w:color w:val="1F2937"/>
          <w:sz w:val="22"/>
          <w:szCs w:val="22"/>
        </w:rPr>
        <w:t xml:space="preserve"> Wat was de uitkomst voor de gedupeerden, voor de organisatie, en voor de architect persoonlijk?</w:t>
      </w:r>
    </w:p>
    <w:p>
      <w:pPr>
        <w:pStyle w:val="ListParagraph"/>
        <w:numPr>
          <w:ilvl w:val="0"/>
          <w:numId w:val="2"/>
        </w:numPr>
        <w:spacing w:after="100"/>
      </w:pPr>
      <w:r>
        <w:rPr>
          <w:b/>
          <w:bCs/>
          <w:color w:val="1F2937"/>
          <w:sz w:val="22"/>
          <w:szCs w:val="22"/>
        </w:rPr>
        <w:t xml:space="preserve">e)</w:t>
      </w:r>
      <w:r>
        <w:rPr>
          <w:color w:val="1F2937"/>
          <w:sz w:val="22"/>
          <w:szCs w:val="22"/>
        </w:rPr>
        <w:t xml:space="preserve"> Welke van de vier casussen toont het duidelijkst de waarde van goede gebeurtenisregistratie (deel 14) bij de reconstructie?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27.6</w:t>
            </w:r>
          </w:p>
          <w:p>
            <w:pPr>
              <w:spacing w:after="80"/>
            </w:pPr>
          </w:p>
          <w:p>
            <w:pPr>
              <w:spacing w:after="120" w:line="276"/>
            </w:pPr>
            <w:r>
              <w:rPr>
                <w:color w:val="1F2937"/>
                <w:sz w:val="21"/>
                <w:szCs w:val="21"/>
              </w:rPr>
              <w:t xml:space="preserve">Geen modelantwoord voor de vier casussen. Algemene bevindingen die in de meeste versies van deze opdracht naar boven komen:</w:t>
            </w:r>
          </w:p>
          <w:p>
            <w:pPr>
              <w:spacing w:after="120" w:line="276"/>
            </w:pPr>
            <w:r>
              <w:rPr>
                <w:b/>
                <w:bCs/>
                <w:color w:val="1F2937"/>
                <w:sz w:val="21"/>
                <w:szCs w:val="21"/>
              </w:rPr>
              <w:t xml:space="preserve">Bij a) blijkt op tijd melden vaker een kwestie van organisatiecultuur dan van individuele kennis</w:t>
            </w:r>
            <w:r>
              <w:rPr>
                <w:color w:val="1F2937"/>
                <w:sz w:val="21"/>
                <w:szCs w:val="21"/>
              </w:rPr>
              <w:t xml:space="preserve"> — architecten die de regels kenden, meldden soms alsnog te laat omdat de organisatie om hen heen vertraagde en zij niet doorzetten.</w:t>
            </w:r>
          </w:p>
          <w:p>
            <w:pPr>
              <w:spacing w:after="120" w:line="276"/>
            </w:pPr>
            <w:r>
              <w:rPr>
                <w:b/>
                <w:bCs/>
                <w:color w:val="1F2937"/>
                <w:sz w:val="21"/>
                <w:szCs w:val="21"/>
              </w:rPr>
              <w:t xml:space="preserve">Bij c) is de meest voorkomende grensoverschrijding dat de architect zich, uit goede bedoelingen, mengt in de vraag hoeveel er wordt teruggevorderd</w:t>
            </w:r>
            <w:r>
              <w:rPr>
                <w:color w:val="1F2937"/>
                <w:sz w:val="21"/>
                <w:szCs w:val="21"/>
              </w:rPr>
              <w:t xml:space="preserve"> — vaak omdat hij als enige de volledige technische impact overziet en het gevoel heeft verantwoordelijkheid te moeten nemen voor de uitkomst. Dat is precies de grensoverschrijding die paragraaf 27.7 beschrijft: verantwoordelijkheid grijpen voor wat niet van u is.</w:t>
            </w:r>
          </w:p>
          <w:p>
            <w:pPr>
              <w:spacing w:after="120" w:line="276"/>
            </w:pPr>
            <w:r>
              <w:rPr>
                <w:b/>
                <w:bCs/>
                <w:color w:val="1F2937"/>
                <w:sz w:val="21"/>
                <w:szCs w:val="21"/>
              </w:rPr>
              <w:t xml:space="preserve">Bij e) is de casus met de beste gebeurtenisregistratie meestal ook de casus met het snelste en meest zorgvuldige herstel</w:t>
            </w:r>
            <w:r>
              <w:rPr>
                <w:color w:val="1F2937"/>
                <w:sz w:val="21"/>
                <w:szCs w:val="21"/>
              </w:rPr>
              <w:t xml:space="preserve"> — omdat de reconstructie van "wie wist wat wanneer" en "wat gold er feitelijk" niet apart hoefde te worden opgebouwd maar al beschikbaar was.</w:t>
            </w:r>
          </w:p>
        </w:tc>
      </w:tr>
    </w:tbl>
    <w:p>
      <w:pPr>
        <w:spacing w:after="300"/>
      </w:pPr>
    </w:p>
    <w:p>
      <w:pPr>
        <w:pStyle w:val="Heading1"/>
        <w:pBdr>
          <w:bottom w:val="single" w:color="E5E7EB" w:sz="6" w:space="6"/>
        </w:pBdr>
        <w:spacing w:after="180" w:before="380"/>
      </w:pPr>
      <w:r>
        <w:rPr>
          <w:b/>
          <w:bCs/>
          <w:color w:val="1F3A5F"/>
          <w:sz w:val="30"/>
          <w:szCs w:val="30"/>
        </w:rPr>
        <w:t xml:space="preserve">Opdracht 27.7 — Uw eigen opdracht en afsluiting (individueel huiswerk, 45 minuten)</w:t>
      </w:r>
    </w:p>
    <w:p>
      <w:pPr>
        <w:pStyle w:val="ListParagraph"/>
        <w:numPr>
          <w:ilvl w:val="0"/>
          <w:numId w:val="2"/>
        </w:numPr>
        <w:spacing w:after="100"/>
      </w:pPr>
      <w:r>
        <w:rPr>
          <w:b/>
          <w:bCs/>
          <w:color w:val="1F2937"/>
          <w:sz w:val="22"/>
          <w:szCs w:val="22"/>
        </w:rPr>
        <w:t xml:space="preserve">a)</w:t>
      </w:r>
      <w:r>
        <w:rPr>
          <w:color w:val="1F2937"/>
          <w:sz w:val="22"/>
          <w:szCs w:val="22"/>
        </w:rPr>
        <w:t xml:space="preserve"> Is er in uw certificeringsopdracht, of in uw bredere ervaring, een moment geweest waarop een oude fout aan het licht kwam? Beschrijf kort wat er gebeurde.</w:t>
      </w:r>
    </w:p>
    <w:p>
      <w:pPr>
        <w:pStyle w:val="ListParagraph"/>
        <w:numPr>
          <w:ilvl w:val="0"/>
          <w:numId w:val="2"/>
        </w:numPr>
        <w:spacing w:after="100"/>
      </w:pPr>
      <w:r>
        <w:rPr>
          <w:b/>
          <w:bCs/>
          <w:color w:val="1F2937"/>
          <w:sz w:val="22"/>
          <w:szCs w:val="22"/>
        </w:rPr>
        <w:t xml:space="preserve">b)</w:t>
      </w:r>
      <w:r>
        <w:rPr>
          <w:color w:val="1F2937"/>
          <w:sz w:val="22"/>
          <w:szCs w:val="22"/>
        </w:rPr>
        <w:t xml:space="preserve"> Werd het onderscheid technisch/compliance/bestuurlijk gemaakt? Zo nee, wat was het gevolg?</w:t>
      </w:r>
    </w:p>
    <w:p>
      <w:pPr>
        <w:pStyle w:val="ListParagraph"/>
        <w:numPr>
          <w:ilvl w:val="0"/>
          <w:numId w:val="2"/>
        </w:numPr>
        <w:spacing w:after="100"/>
      </w:pPr>
      <w:r>
        <w:rPr>
          <w:b/>
          <w:bCs/>
          <w:color w:val="1F2937"/>
          <w:sz w:val="22"/>
          <w:szCs w:val="22"/>
        </w:rPr>
        <w:t xml:space="preserve">c)</w:t>
      </w:r>
      <w:r>
        <w:rPr>
          <w:color w:val="1F2937"/>
          <w:sz w:val="22"/>
          <w:szCs w:val="22"/>
        </w:rPr>
        <w:t xml:space="preserve"> Was er druk om te bagatelliseren? Hoe werd daarmee omgegaan?</w:t>
      </w:r>
    </w:p>
    <w:p>
      <w:pPr>
        <w:pStyle w:val="ListParagraph"/>
        <w:numPr>
          <w:ilvl w:val="0"/>
          <w:numId w:val="2"/>
        </w:numPr>
        <w:spacing w:after="100"/>
      </w:pPr>
      <w:r>
        <w:rPr>
          <w:b/>
          <w:bCs/>
          <w:color w:val="1F2937"/>
          <w:sz w:val="22"/>
          <w:szCs w:val="22"/>
        </w:rPr>
        <w:t xml:space="preserve">d)</w:t>
      </w:r>
      <w:r>
        <w:rPr>
          <w:color w:val="1F2937"/>
          <w:sz w:val="22"/>
          <w:szCs w:val="22"/>
        </w:rPr>
        <w:t xml:space="preserve"> Blik terug op deel 22 tot en met 27. Welke drie inzichten uit deze zes delen zijn het meest bepalend geweest voor hoe u nu tegen uw eigen certificeringsopdracht aankijkt?</w:t>
      </w:r>
    </w:p>
    <w:p>
      <w:pPr>
        <w:pStyle w:val="ListParagraph"/>
        <w:numPr>
          <w:ilvl w:val="0"/>
          <w:numId w:val="2"/>
        </w:numPr>
        <w:spacing w:after="100"/>
      </w:pPr>
      <w:r>
        <w:rPr>
          <w:b/>
          <w:bCs/>
          <w:color w:val="1F2937"/>
          <w:sz w:val="22"/>
          <w:szCs w:val="22"/>
        </w:rPr>
        <w:t xml:space="preserve">e)</w:t>
      </w:r>
      <w:r>
        <w:rPr>
          <w:color w:val="1F2937"/>
          <w:sz w:val="22"/>
          <w:szCs w:val="22"/>
        </w:rPr>
        <w:t xml:space="preserve"> U bent nu klaar voor het laatste deel: de simulatie van het examinatoreninterview. Welke vraag verwacht u het meest te vrezen, en waarom?</w:t>
      </w:r>
    </w:p>
    <w:p>
      <w:pPr>
        <w:spacing w:after="160" w:line="276"/>
      </w:pPr>
      <w:r>
        <w:rPr>
          <w:i/>
          <w:iCs/>
          <w:color w:val="1F2937"/>
          <w:sz w:val="22"/>
          <w:szCs w:val="22"/>
        </w:rPr>
        <w:t xml:space="preserve">Onderdeel e) is de directe voorbereiding op deel 28.</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27.7</w:t>
            </w:r>
          </w:p>
          <w:p>
            <w:pPr>
              <w:spacing w:after="80"/>
            </w:pPr>
          </w:p>
          <w:p>
            <w:pPr>
              <w:spacing w:after="120" w:line="276"/>
            </w:pPr>
            <w:r>
              <w:rPr>
                <w:color w:val="1F2937"/>
                <w:sz w:val="21"/>
                <w:szCs w:val="21"/>
              </w:rPr>
              <w:t xml:space="preserve">Individueel. Twee opmerkingen:</w:t>
            </w:r>
          </w:p>
          <w:p>
            <w:pPr>
              <w:spacing w:after="120" w:line="276"/>
            </w:pPr>
            <w:r>
              <w:rPr>
                <w:b/>
                <w:bCs/>
                <w:color w:val="1F2937"/>
                <w:sz w:val="21"/>
                <w:szCs w:val="21"/>
              </w:rPr>
              <w:t xml:space="preserve">Bij a) hoeft de gebeurtenis niet zo zwaar te zijn als de casus</w:t>
            </w:r>
            <w:r>
              <w:rPr>
                <w:color w:val="1F2937"/>
                <w:sz w:val="21"/>
                <w:szCs w:val="21"/>
              </w:rPr>
              <w:t xml:space="preserve"> — een kleinere historische fout, een verkeerd geconfigureerde regel die jaren onopgemerkt bleef, een dataprobleem dat bij toeval aan het licht kwam, telt evengoed. Het patroon is hetzelfde ongeacht de schaal.</w:t>
            </w:r>
          </w:p>
          <w:p>
            <w:pPr>
              <w:spacing w:after="120" w:line="276"/>
            </w:pPr>
            <w:r>
              <w:rPr>
                <w:b/>
                <w:bCs/>
                <w:color w:val="1F2937"/>
                <w:sz w:val="21"/>
                <w:szCs w:val="21"/>
              </w:rPr>
              <w:t xml:space="preserve">Bij d) noemen deelnemers vaak deze drie: </w:t>
            </w:r>
            <w:r>
              <w:rPr>
                <w:color w:val="1F2937"/>
                <w:sz w:val="21"/>
                <w:szCs w:val="21"/>
              </w:rPr>
              <w:t xml:space="preserve">het onderscheid ontwerpfout/gerealiseerd risico (deel 9), de rolgrens die door bijna elk deel van niveau 2 en 3 terugkeert, en het vastleggen van beslissingen terwijl zij genomen worden (deel 21 en 22). Dat drietal is een goede voorspeller van wat een sterke certificeringsopdracht kenmerkt.</w:t>
            </w:r>
          </w:p>
          <w:p>
            <w:pPr>
              <w:spacing w:after="120" w:line="276"/>
            </w:pPr>
            <w:r>
              <w:rPr>
                <w:b/>
                <w:bCs/>
                <w:color w:val="1F2937"/>
                <w:sz w:val="21"/>
                <w:szCs w:val="21"/>
              </w:rPr>
              <w:t xml:space="preserve">Onderdeel e) is bewust open gelaten.</w:t>
            </w:r>
            <w:r>
              <w:rPr>
                <w:color w:val="1F2937"/>
                <w:sz w:val="21"/>
                <w:szCs w:val="21"/>
              </w:rPr>
              <w:t xml:space="preserve"> In de praktijk noemen deelnemers meestal een van twee soorten vragen: "wat zou u nu anders doen" (bij wie zwak scoorde op criterium 3 in deel 22) of "waarom nam u dit besluit en niet dat" bij een moment waarop de gronden niet goed zijn vastgelegd. Beide zijn precies waar deel 28 op oefent.</w:t>
            </w:r>
          </w:p>
        </w:tc>
      </w:tr>
    </w:tbl>
    <w:p>
      <w:pPr>
        <w:pBdr>
          <w:top w:val="single" w:color="E5E7EB" w:sz="4" w:space="8"/>
        </w:pBdr>
        <w:spacing w:before="400"/>
        <w:jc w:val="center"/>
      </w:pPr>
      <w:r>
        <w:rPr>
          <w:i/>
          <w:iCs/>
          <w:color w:val="6B7280"/>
          <w:sz w:val="17"/>
          <w:szCs w:val="17"/>
        </w:rPr>
        <w:t xml:space="preserve">Ductus B.V. · Cursus Softwarearchitectuur · Niveau 3, deel 27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27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2026-08-17T19:57:39.452Z</dcterms:created>
  <dcterms:modified xsi:type="dcterms:W3CDTF">2026-08-17T19:57:39.453Z</dcterms:modified>
</cp:coreProperties>
</file>

<file path=docProps/custom.xml><?xml version="1.0" encoding="utf-8"?>
<Properties xmlns="http://schemas.openxmlformats.org/officeDocument/2006/custom-properties" xmlns:vt="http://schemas.openxmlformats.org/officeDocument/2006/docPropsVTypes"/>
</file>