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28 — De masterproef: simulatie van het examinatoreninterview</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3 (CPSA-A certificeringstraject) · Deel 28 van 28 · twee dagdelen · sluitstuk van de hele cursus</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is het laatste deel van acht-en-twintig, en het heeft een dubbele functie die u allebei moet bedienen: het is de generale repetitie voor een echt interview, en het is de afsluiting van een cursus die deelnemers mogelijk over maanden hebben gevolgd.</w:t>
      </w:r>
    </w:p>
    <w:p>
      <w:pPr>
        <w:spacing w:after="160" w:line="276"/>
      </w:pPr>
      <w:r>
        <w:rPr>
          <w:b/>
          <w:bCs/>
          <w:i w:val="false"/>
          <w:iCs w:val="false"/>
          <w:color w:val="1F2937"/>
          <w:sz w:val="22"/>
          <w:szCs w:val="22"/>
        </w:rPr>
        <w:t xml:space="preserve">Wat dit deel anders maakt dan alle voorgaande: </w:t>
      </w:r>
      <w:r>
        <w:rPr>
          <w:b w:val="false"/>
          <w:bCs w:val="false"/>
          <w:i w:val="false"/>
          <w:iCs w:val="false"/>
          <w:color w:val="1F2937"/>
          <w:sz w:val="22"/>
          <w:szCs w:val="22"/>
        </w:rPr>
        <w:t xml:space="preserve">er is voor het eerst geen gedeelde casus meer om op te oefenen. Elke deelnemer verdedigt zijn eigen, unieke certificeringsopdracht. Dat betekent dat u als docent niet langer de inhoudelijke expert bent die de juiste antwoorden kent — u bent procesbewaker, tijdwaarnemer en, waar nodig, invaller in een panel. </w:t>
      </w:r>
      <w:r>
        <w:rPr>
          <w:b/>
          <w:bCs/>
          <w:i w:val="false"/>
          <w:iCs w:val="false"/>
          <w:color w:val="1F2937"/>
          <w:sz w:val="22"/>
          <w:szCs w:val="22"/>
        </w:rPr>
        <w:t xml:space="preserve">Dit vraagt een rolverschuiving die u vooraf bij uzelf moet erkennen.</w:t>
      </w:r>
    </w:p>
    <w:p>
      <w:pPr>
        <w:spacing w:after="160" w:line="276"/>
      </w:pPr>
      <w:r>
        <w:rPr>
          <w:b/>
          <w:bCs/>
          <w:i w:val="false"/>
          <w:iCs w:val="false"/>
          <w:color w:val="1F2937"/>
          <w:sz w:val="22"/>
          <w:szCs w:val="22"/>
        </w:rPr>
        <w:t xml:space="preserve">Drie dingen dragen dit deel:</w:t>
      </w:r>
    </w:p>
    <w:p>
      <w:pPr>
        <w:pStyle w:val="ListParagraph"/>
        <w:numPr>
          <w:ilvl w:val="0"/>
          <w:numId w:val="2"/>
        </w:numPr>
        <w:spacing w:after="120"/>
      </w:pPr>
      <w:r>
        <w:rPr>
          <w:b/>
          <w:bCs/>
          <w:color w:val="1F2937"/>
          <w:sz w:val="22"/>
          <w:szCs w:val="22"/>
        </w:rPr>
        <w:t xml:space="preserve">De zeven vraagtypen als herkenningskader.</w:t>
      </w:r>
      <w:r>
        <w:rPr>
          <w:color w:val="1F2937"/>
          <w:sz w:val="22"/>
          <w:szCs w:val="22"/>
        </w:rPr>
        <w:t xml:space="preserve"> Deelnemers die de hele cursus volgden, hebben elk type al geoefend zonder het zo genoemd te zien. Het samenbrengen onder deze noemer is zelf een leermoment — het maakt zichtbaar dat het interview geen nieuw vak is maar de optelsom van wat al geoefend is.</w:t>
      </w:r>
    </w:p>
    <w:p>
      <w:pPr>
        <w:pStyle w:val="ListParagraph"/>
        <w:numPr>
          <w:ilvl w:val="0"/>
          <w:numId w:val="2"/>
        </w:numPr>
        <w:spacing w:after="120"/>
      </w:pPr>
      <w:r>
        <w:rPr>
          <w:b/>
          <w:bCs/>
          <w:color w:val="1F2937"/>
          <w:sz w:val="22"/>
          <w:szCs w:val="22"/>
        </w:rPr>
        <w:t xml:space="preserve">De checklist als voorspellend instrument.</w:t>
      </w:r>
      <w:r>
        <w:rPr>
          <w:color w:val="1F2937"/>
          <w:sz w:val="22"/>
          <w:szCs w:val="22"/>
        </w:rPr>
        <w:t xml:space="preserve"> De uitwerkingen bij opdracht 28.2 en 28.3 laten zien dat zwakke punten in de checklist vrijwel één-op-één voorspellen waar een interview zal stranden. Dat maakt de checklist niet bureaucratisch maar diagnostisch.</w:t>
      </w:r>
    </w:p>
    <w:p>
      <w:pPr>
        <w:pStyle w:val="ListParagraph"/>
        <w:numPr>
          <w:ilvl w:val="0"/>
          <w:numId w:val="2"/>
        </w:numPr>
        <w:spacing w:after="120"/>
      </w:pPr>
      <w:r>
        <w:rPr>
          <w:b/>
          <w:bCs/>
          <w:color w:val="1F2937"/>
          <w:sz w:val="22"/>
          <w:szCs w:val="22"/>
        </w:rPr>
        <w:t xml:space="preserve">De afsluiting van de hele cursus in paragraaf 28.7.</w:t>
      </w:r>
      <w:r>
        <w:rPr>
          <w:color w:val="1F2937"/>
          <w:sz w:val="22"/>
          <w:szCs w:val="22"/>
        </w:rPr>
        <w:t xml:space="preserve"> Dit is niet decoratief. De drie patronen die daar worden benoemd, zijn wat deelnemers na maanden nog zullen herinneren wanneer de losse technieken vervagen — en het is uw taak om dat besef in dagdeel B echt te laten landen, niet af te raffelen.</w:t>
      </w:r>
    </w:p>
    <w:p>
      <w:pPr>
        <w:spacing w:after="160" w:line="276"/>
      </w:pPr>
      <w:r>
        <w:rPr>
          <w:b/>
          <w:bCs/>
          <w:i w:val="false"/>
          <w:iCs w:val="false"/>
          <w:color w:val="1F2937"/>
          <w:sz w:val="22"/>
          <w:szCs w:val="22"/>
        </w:rPr>
        <w:t xml:space="preserve">Praktische waarschuwing.</w:t>
      </w:r>
      <w:r>
        <w:rPr>
          <w:b w:val="false"/>
          <w:bCs w:val="false"/>
          <w:i w:val="false"/>
          <w:iCs w:val="false"/>
          <w:color w:val="1F2937"/>
          <w:sz w:val="22"/>
          <w:szCs w:val="22"/>
        </w:rPr>
        <w:t xml:space="preserve"> Twee volle dagdelen aan rollenspel is intensief voor u als begeleider en voor de deelnemers. Bewaak het tempo en de pauzes strenger dan bij andere delen — vermoeidheid tast hier direct de kwaliteit van de simulatie aan.</w:t>
      </w:r>
    </w:p>
    <w:p>
      <w:pPr>
        <w:pStyle w:val="Heading1"/>
        <w:pBdr>
          <w:bottom w:val="single" w:color="E5E7EB" w:sz="6" w:space="6"/>
        </w:pBdr>
        <w:spacing w:after="180" w:before="380"/>
      </w:pPr>
      <w:r>
        <w:rPr>
          <w:b/>
          <w:bCs/>
          <w:color w:val="1F3A5F"/>
          <w:sz w:val="30"/>
          <w:szCs w:val="30"/>
        </w:rPr>
        <w:t xml:space="preserve">2. Planning</w:t>
      </w:r>
    </w:p>
    <w:p>
      <w:pPr>
        <w:pStyle w:val="Heading2"/>
        <w:spacing w:after="140" w:before="260"/>
      </w:pPr>
      <w:r>
        <w:rPr>
          <w:b/>
          <w:bCs/>
          <w:color w:val="4A6789"/>
          <w:sz w:val="24"/>
          <w:szCs w:val="24"/>
        </w:rPr>
        <w:t xml:space="preserve">Vereiste voorbereiding vóór dit deel</w:t>
      </w:r>
    </w:p>
    <w:p>
      <w:pPr>
        <w:spacing w:after="160" w:line="276"/>
      </w:pPr>
      <w:r>
        <w:rPr>
          <w:b/>
          <w:bCs/>
          <w:i w:val="false"/>
          <w:iCs w:val="false"/>
          <w:color w:val="1F2937"/>
          <w:sz w:val="22"/>
          <w:szCs w:val="22"/>
        </w:rPr>
        <w:t xml:space="preserve">Deelnemers moeten hun certificeringsopdracht in vergevorderd concept of definitief hebben, </w:t>
      </w:r>
      <w:r>
        <w:rPr>
          <w:b w:val="false"/>
          <w:bCs w:val="false"/>
          <w:i w:val="false"/>
          <w:iCs w:val="false"/>
          <w:color w:val="1F2937"/>
          <w:sz w:val="22"/>
          <w:szCs w:val="22"/>
        </w:rPr>
        <w:t xml:space="preserve">aansluitend op het werkplan uit deel 22. Stuur uiterlijk een week vooraf een herinnering: wie geen opdracht heeft om te verdedigen, kan dit deel niet volledig meedoen. Voor die deelnemers: laat hen bij voorkeur alsnog meedoen als examinator, wat op zichzelf leerzaam is, en plan een individueel inhaalmoment.</w:t>
      </w:r>
    </w:p>
    <w:p>
      <w:pPr>
        <w:spacing w:after="160" w:line="276"/>
      </w:pPr>
      <w:r>
        <w:rPr>
          <w:b/>
          <w:bCs/>
          <w:i w:val="false"/>
          <w:iCs w:val="false"/>
          <w:color w:val="1F2937"/>
          <w:sz w:val="22"/>
          <w:szCs w:val="22"/>
        </w:rPr>
        <w:t xml:space="preserve">Vraag deelnemers vooraf om de checklist (bijlage DC) alvast in te vullen, </w:t>
      </w:r>
      <w:r>
        <w:rPr>
          <w:b w:val="false"/>
          <w:bCs w:val="false"/>
          <w:i w:val="false"/>
          <w:iCs w:val="false"/>
          <w:color w:val="1F2937"/>
          <w:sz w:val="22"/>
          <w:szCs w:val="22"/>
        </w:rPr>
        <w:t xml:space="preserve">zodat dagdeel A niet grotendeels opgaat aan voorbereiding die ook thuis had gekund. Dit is de belangrijkste efficiëntiemaatregel voor dit deel.</w:t>
      </w:r>
    </w:p>
    <w:p>
      <w:pPr>
        <w:pStyle w:val="Heading2"/>
        <w:spacing w:after="140" w:before="260"/>
      </w:pPr>
      <w:r>
        <w:rPr>
          <w:b/>
          <w:bCs/>
          <w:color w:val="4A6789"/>
          <w:sz w:val="24"/>
          <w:szCs w:val="24"/>
        </w:rPr>
        <w:t xml:space="preserve">Dagdeel A (4 uur, twee pauzes)</w:t>
      </w:r>
    </w:p>
    <w:tbl>
      <w:tblPr>
        <w:tblW w:type="dxa" w:w="97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600"/>
        <w:gridCol w:w="2300"/>
        <w:gridCol w:w="13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6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3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600"/>
            <w:tcMar>
              <w:top w:type="dxa" w:w="100"/>
              <w:left w:type="dxa" w:w="120"/>
              <w:bottom w:type="dxa" w:w="100"/>
              <w:right w:type="dxa" w:w="120"/>
            </w:tcMar>
            <w:vAlign w:val="center"/>
          </w:tcPr>
          <w:p>
            <w:r>
              <w:rPr>
                <w:b w:val="false"/>
                <w:bCs w:val="false"/>
                <w:color w:val="1F2937"/>
                <w:sz w:val="19"/>
                <w:szCs w:val="19"/>
              </w:rPr>
              <w:t xml:space="preserve">Positionering; wat het interview beoogt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38"/>
            <w:tcMar>
              <w:top w:type="dxa" w:w="100"/>
              <w:left w:type="dxa" w:w="120"/>
              <w:bottom w:type="dxa" w:w="100"/>
              <w:right w:type="dxa" w:w="120"/>
            </w:tcMar>
            <w:vAlign w:val="center"/>
          </w:tcPr>
          <w:p>
            <w:r>
              <w:rPr>
                <w:b w:val="false"/>
                <w:bCs w:val="false"/>
                <w:color w:val="1F2937"/>
                <w:sz w:val="19"/>
                <w:szCs w:val="19"/>
              </w:rPr>
              <w:t xml:space="preserve">2–6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0:15–0:30</w:t>
            </w:r>
          </w:p>
        </w:tc>
        <w:tc>
          <w:tcPr>
            <w:tcW w:type="dxa" w:w="4600"/>
            <w:tcMar>
              <w:top w:type="dxa" w:w="100"/>
              <w:left w:type="dxa" w:w="120"/>
              <w:bottom w:type="dxa" w:w="100"/>
              <w:right w:type="dxa" w:w="120"/>
            </w:tcMar>
            <w:vAlign w:val="center"/>
          </w:tcPr>
          <w:p>
            <w:r>
              <w:rPr>
                <w:b w:val="false"/>
                <w:bCs w:val="false"/>
                <w:color w:val="1F2937"/>
                <w:sz w:val="19"/>
                <w:szCs w:val="19"/>
              </w:rPr>
              <w:t xml:space="preserve">De presentatie: vorm en valkuilen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38"/>
            <w:tcMar>
              <w:top w:type="dxa" w:w="100"/>
              <w:left w:type="dxa" w:w="120"/>
              <w:bottom w:type="dxa" w:w="100"/>
              <w:right w:type="dxa" w:w="120"/>
            </w:tcMar>
            <w:vAlign w:val="center"/>
          </w:tcPr>
          <w:p>
            <w:r>
              <w:rPr>
                <w:b w:val="false"/>
                <w:bCs w:val="false"/>
                <w:color w:val="1F2937"/>
                <w:sz w:val="19"/>
                <w:szCs w:val="19"/>
              </w:rPr>
              <w:t xml:space="preserve">7–10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0:30–1:00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28.1 en 28.2 — geslaagd en gestrand interview ontleden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338"/>
            <w:tcMar>
              <w:top w:type="dxa" w:w="100"/>
              <w:left w:type="dxa" w:w="120"/>
              <w:bottom w:type="dxa" w:w="100"/>
              <w:right w:type="dxa" w:w="120"/>
            </w:tcMar>
            <w:vAlign w:val="center"/>
          </w:tcPr>
          <w:p>
            <w:r>
              <w:rPr>
                <w:b w:val="false"/>
                <w:bCs w:val="false"/>
                <w:color w:val="1F2937"/>
                <w:sz w:val="19"/>
                <w:szCs w:val="19"/>
              </w:rPr>
              <w:t xml:space="preserve">11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1:00–1:10</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3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1:10–1:30</w:t>
            </w:r>
          </w:p>
        </w:tc>
        <w:tc>
          <w:tcPr>
            <w:tcW w:type="dxa" w:w="4600"/>
            <w:tcMar>
              <w:top w:type="dxa" w:w="100"/>
              <w:left w:type="dxa" w:w="120"/>
              <w:bottom w:type="dxa" w:w="100"/>
              <w:right w:type="dxa" w:w="120"/>
            </w:tcMar>
            <w:vAlign w:val="center"/>
          </w:tcPr>
          <w:p>
            <w:r>
              <w:rPr>
                <w:b w:val="false"/>
                <w:bCs w:val="false"/>
                <w:color w:val="1F2937"/>
                <w:sz w:val="19"/>
                <w:szCs w:val="19"/>
              </w:rPr>
              <w:t xml:space="preserve">Zeven vraagtypen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38"/>
            <w:tcMar>
              <w:top w:type="dxa" w:w="100"/>
              <w:left w:type="dxa" w:w="120"/>
              <w:bottom w:type="dxa" w:w="100"/>
              <w:right w:type="dxa" w:w="120"/>
            </w:tcMar>
            <w:vAlign w:val="center"/>
          </w:tcPr>
          <w:p>
            <w:r>
              <w:rPr>
                <w:b w:val="false"/>
                <w:bCs w:val="false"/>
                <w:color w:val="1F2937"/>
                <w:sz w:val="19"/>
                <w:szCs w:val="19"/>
              </w:rPr>
              <w:t xml:space="preserve">12–15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1:30–2:00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28.3 — checklist afronden en presentatie voorbereiden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w:t>
            </w:r>
          </w:p>
        </w:tc>
        <w:tc>
          <w:tcPr>
            <w:tcW w:type="dxa" w:w="1338"/>
            <w:tcMar>
              <w:top w:type="dxa" w:w="100"/>
              <w:left w:type="dxa" w:w="120"/>
              <w:bottom w:type="dxa" w:w="100"/>
              <w:right w:type="dxa" w:w="120"/>
            </w:tcMar>
            <w:vAlign w:val="center"/>
          </w:tcPr>
          <w:p>
            <w:r>
              <w:rPr>
                <w:b w:val="false"/>
                <w:bCs w:val="false"/>
                <w:color w:val="1F2937"/>
                <w:sz w:val="19"/>
                <w:szCs w:val="19"/>
              </w:rPr>
              <w:t xml:space="preserve">16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2:00–2:10</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3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2:10–3:40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28.4 — eerste simulatieronde, roulerend</w:t>
            </w:r>
          </w:p>
        </w:tc>
        <w:tc>
          <w:tcPr>
            <w:tcW w:type="dxa" w:w="2300"/>
            <w:tcMar>
              <w:top w:type="dxa" w:w="100"/>
              <w:left w:type="dxa" w:w="120"/>
              <w:bottom w:type="dxa" w:w="100"/>
              <w:right w:type="dxa" w:w="120"/>
            </w:tcMar>
            <w:vAlign w:val="center"/>
          </w:tcPr>
          <w:p>
            <w:r>
              <w:rPr>
                <w:b w:val="false"/>
                <w:bCs w:val="false"/>
                <w:color w:val="1F2937"/>
                <w:sz w:val="19"/>
                <w:szCs w:val="19"/>
              </w:rPr>
              <w:t xml:space="preserve">rollenspel</w:t>
            </w:r>
          </w:p>
        </w:tc>
        <w:tc>
          <w:tcPr>
            <w:tcW w:type="dxa" w:w="1338"/>
            <w:tcMar>
              <w:top w:type="dxa" w:w="100"/>
              <w:left w:type="dxa" w:w="120"/>
              <w:bottom w:type="dxa" w:w="100"/>
              <w:right w:type="dxa" w:w="120"/>
            </w:tcMar>
            <w:vAlign w:val="center"/>
          </w:tcPr>
          <w:p>
            <w:r>
              <w:rPr>
                <w:b w:val="false"/>
                <w:bCs w:val="false"/>
                <w:color w:val="1F2937"/>
                <w:sz w:val="19"/>
                <w:szCs w:val="19"/>
              </w:rPr>
              <w:t xml:space="preserve">17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3:40–4:00</w:t>
            </w:r>
          </w:p>
        </w:tc>
        <w:tc>
          <w:tcPr>
            <w:tcW w:type="dxa" w:w="4600"/>
            <w:tcMar>
              <w:top w:type="dxa" w:w="100"/>
              <w:left w:type="dxa" w:w="120"/>
              <w:bottom w:type="dxa" w:w="100"/>
              <w:right w:type="dxa" w:w="120"/>
            </w:tcMar>
            <w:vAlign w:val="center"/>
          </w:tcPr>
          <w:p>
            <w:r>
              <w:rPr>
                <w:b w:val="false"/>
                <w:bCs w:val="false"/>
                <w:color w:val="1F2937"/>
                <w:sz w:val="19"/>
                <w:szCs w:val="19"/>
              </w:rPr>
              <w:t xml:space="preserve">Reflectie; huiswerk tot dagdeel B</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 + individueel</w:t>
            </w:r>
          </w:p>
        </w:tc>
        <w:tc>
          <w:tcPr>
            <w:tcW w:type="dxa" w:w="1338"/>
            <w:tcMar>
              <w:top w:type="dxa" w:w="100"/>
              <w:left w:type="dxa" w:w="120"/>
              <w:bottom w:type="dxa" w:w="100"/>
              <w:right w:type="dxa" w:w="120"/>
            </w:tcMar>
            <w:vAlign w:val="center"/>
          </w:tcPr>
          <w:p>
            <w:r>
              <w:rPr>
                <w:b w:val="false"/>
                <w:bCs w:val="false"/>
                <w:color w:val="1F2937"/>
                <w:sz w:val="19"/>
                <w:szCs w:val="19"/>
              </w:rPr>
              <w:t xml:space="preserve">—</w:t>
            </w:r>
          </w:p>
        </w:tc>
      </w:tr>
    </w:tbl>
    <w:p>
      <w:pPr>
        <w:spacing w:after="300"/>
      </w:pPr>
    </w:p>
    <w:p>
      <w:pPr>
        <w:pStyle w:val="Heading2"/>
        <w:spacing w:after="140" w:before="260"/>
      </w:pPr>
      <w:r>
        <w:rPr>
          <w:b/>
          <w:bCs/>
          <w:color w:val="4A6789"/>
          <w:sz w:val="24"/>
          <w:szCs w:val="24"/>
        </w:rPr>
        <w:t xml:space="preserve">Dagdeel B (4 uur, twee pauzes)</w:t>
      </w:r>
    </w:p>
    <w:tbl>
      <w:tblPr>
        <w:tblW w:type="dxa" w:w="97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600"/>
        <w:gridCol w:w="2300"/>
        <w:gridCol w:w="13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6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3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0:00–0:20</w:t>
            </w:r>
          </w:p>
        </w:tc>
        <w:tc>
          <w:tcPr>
            <w:tcW w:type="dxa" w:w="4600"/>
            <w:tcMar>
              <w:top w:type="dxa" w:w="100"/>
              <w:left w:type="dxa" w:w="120"/>
              <w:bottom w:type="dxa" w:w="100"/>
              <w:right w:type="dxa" w:w="120"/>
            </w:tcMar>
            <w:vAlign w:val="center"/>
          </w:tcPr>
          <w:p>
            <w:r>
              <w:rPr>
                <w:b w:val="false"/>
                <w:bCs w:val="false"/>
                <w:color w:val="1F2937"/>
                <w:sz w:val="19"/>
                <w:szCs w:val="19"/>
              </w:rPr>
              <w:t xml:space="preserve">Terugblik op het huiswerk; omgaan met kritische doorvraag</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38"/>
            <w:tcMar>
              <w:top w:type="dxa" w:w="100"/>
              <w:left w:type="dxa" w:w="120"/>
              <w:bottom w:type="dxa" w:w="100"/>
              <w:right w:type="dxa" w:w="120"/>
            </w:tcMar>
            <w:vAlign w:val="center"/>
          </w:tcPr>
          <w:p>
            <w:r>
              <w:rPr>
                <w:b w:val="false"/>
                <w:bCs w:val="false"/>
                <w:color w:val="1F2937"/>
                <w:sz w:val="19"/>
                <w:szCs w:val="19"/>
              </w:rPr>
              <w:t xml:space="preserve">18–22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0:20–1:50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28.6 — tweede simulatieronde, nieuw panel</w:t>
            </w:r>
          </w:p>
        </w:tc>
        <w:tc>
          <w:tcPr>
            <w:tcW w:type="dxa" w:w="2300"/>
            <w:tcMar>
              <w:top w:type="dxa" w:w="100"/>
              <w:left w:type="dxa" w:w="120"/>
              <w:bottom w:type="dxa" w:w="100"/>
              <w:right w:type="dxa" w:w="120"/>
            </w:tcMar>
            <w:vAlign w:val="center"/>
          </w:tcPr>
          <w:p>
            <w:r>
              <w:rPr>
                <w:b w:val="false"/>
                <w:bCs w:val="false"/>
                <w:color w:val="1F2937"/>
                <w:sz w:val="19"/>
                <w:szCs w:val="19"/>
              </w:rPr>
              <w:t xml:space="preserve">rollenspel</w:t>
            </w:r>
          </w:p>
        </w:tc>
        <w:tc>
          <w:tcPr>
            <w:tcW w:type="dxa" w:w="1338"/>
            <w:tcMar>
              <w:top w:type="dxa" w:w="100"/>
              <w:left w:type="dxa" w:w="120"/>
              <w:bottom w:type="dxa" w:w="100"/>
              <w:right w:type="dxa" w:w="120"/>
            </w:tcMar>
            <w:vAlign w:val="center"/>
          </w:tcPr>
          <w:p>
            <w:r>
              <w:rPr>
                <w:b w:val="false"/>
                <w:bCs w:val="false"/>
                <w:color w:val="1F2937"/>
                <w:sz w:val="19"/>
                <w:szCs w:val="19"/>
              </w:rPr>
              <w:t xml:space="preserve">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1:50–2:00</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3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2:00–2:25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28.7 — zelfbeoordeling</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w:t>
            </w:r>
          </w:p>
        </w:tc>
        <w:tc>
          <w:tcPr>
            <w:tcW w:type="dxa" w:w="1338"/>
            <w:tcMar>
              <w:top w:type="dxa" w:w="100"/>
              <w:left w:type="dxa" w:w="120"/>
              <w:bottom w:type="dxa" w:w="100"/>
              <w:right w:type="dxa" w:w="120"/>
            </w:tcMar>
            <w:vAlign w:val="center"/>
          </w:tcPr>
          <w:p>
            <w:r>
              <w:rPr>
                <w:b w:val="false"/>
                <w:bCs w:val="false"/>
                <w:color w:val="1F2937"/>
                <w:sz w:val="19"/>
                <w:szCs w:val="19"/>
              </w:rPr>
              <w:t xml:space="preserve">24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2:25–2:35</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3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2:35–3:05</w:t>
            </w:r>
          </w:p>
        </w:tc>
        <w:tc>
          <w:tcPr>
            <w:tcW w:type="dxa" w:w="4600"/>
            <w:tcMar>
              <w:top w:type="dxa" w:w="100"/>
              <w:left w:type="dxa" w:w="120"/>
              <w:bottom w:type="dxa" w:w="100"/>
              <w:right w:type="dxa" w:w="120"/>
            </w:tcMar>
            <w:vAlign w:val="center"/>
          </w:tcPr>
          <w:p>
            <w:r>
              <w:rPr>
                <w:b w:val="false"/>
                <w:bCs w:val="false"/>
                <w:color w:val="1F2937"/>
                <w:sz w:val="19"/>
                <w:szCs w:val="19"/>
              </w:rPr>
              <w:t xml:space="preserve">De boog van de hele cursus; opdracht 28.8</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 + groepen</w:t>
            </w:r>
          </w:p>
        </w:tc>
        <w:tc>
          <w:tcPr>
            <w:tcW w:type="dxa" w:w="1338"/>
            <w:tcMar>
              <w:top w:type="dxa" w:w="100"/>
              <w:left w:type="dxa" w:w="120"/>
              <w:bottom w:type="dxa" w:w="100"/>
              <w:right w:type="dxa" w:w="120"/>
            </w:tcMar>
            <w:vAlign w:val="center"/>
          </w:tcPr>
          <w:p>
            <w:r>
              <w:rPr>
                <w:b w:val="false"/>
                <w:bCs w:val="false"/>
                <w:color w:val="1F2937"/>
                <w:sz w:val="19"/>
                <w:szCs w:val="19"/>
              </w:rPr>
              <w:t xml:space="preserve">25–28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3:05–3:45</w:t>
            </w:r>
          </w:p>
        </w:tc>
        <w:tc>
          <w:tcPr>
            <w:tcW w:type="dxa" w:w="4600"/>
            <w:tcMar>
              <w:top w:type="dxa" w:w="100"/>
              <w:left w:type="dxa" w:w="120"/>
              <w:bottom w:type="dxa" w:w="100"/>
              <w:right w:type="dxa" w:w="120"/>
            </w:tcMar>
            <w:vAlign w:val="center"/>
          </w:tcPr>
          <w:p>
            <w:r>
              <w:rPr>
                <w:b w:val="false"/>
                <w:bCs w:val="false"/>
                <w:color w:val="1F2937"/>
                <w:sz w:val="19"/>
                <w:szCs w:val="19"/>
              </w:rPr>
              <w:t xml:space="preserve">Afsluiting: na vandaag, het vervolgplan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 + individueel</w:t>
            </w:r>
          </w:p>
        </w:tc>
        <w:tc>
          <w:tcPr>
            <w:tcW w:type="dxa" w:w="1338"/>
            <w:tcMar>
              <w:top w:type="dxa" w:w="100"/>
              <w:left w:type="dxa" w:w="120"/>
              <w:bottom w:type="dxa" w:w="100"/>
              <w:right w:type="dxa" w:w="120"/>
            </w:tcMar>
            <w:vAlign w:val="center"/>
          </w:tcPr>
          <w:p>
            <w:r>
              <w:rPr>
                <w:b w:val="false"/>
                <w:bCs w:val="false"/>
                <w:color w:val="1F2937"/>
                <w:sz w:val="19"/>
                <w:szCs w:val="19"/>
              </w:rPr>
              <w:t xml:space="preserve">29–32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3:45–4:00</w:t>
            </w:r>
          </w:p>
        </w:tc>
        <w:tc>
          <w:tcPr>
            <w:tcW w:type="dxa" w:w="4600"/>
            <w:tcMar>
              <w:top w:type="dxa" w:w="100"/>
              <w:left w:type="dxa" w:w="120"/>
              <w:bottom w:type="dxa" w:w="100"/>
              <w:right w:type="dxa" w:w="120"/>
            </w:tcMar>
            <w:vAlign w:val="center"/>
          </w:tcPr>
          <w:p>
            <w:r>
              <w:rPr>
                <w:b w:val="false"/>
                <w:bCs w:val="false"/>
                <w:color w:val="1F2937"/>
                <w:sz w:val="19"/>
                <w:szCs w:val="19"/>
              </w:rPr>
              <w:t xml:space="preserve">Officiële afsluiting van de cursus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38"/>
            <w:tcMar>
              <w:top w:type="dxa" w:w="100"/>
              <w:left w:type="dxa" w:w="120"/>
              <w:bottom w:type="dxa" w:w="100"/>
              <w:right w:type="dxa" w:w="120"/>
            </w:tcMar>
            <w:vAlign w:val="center"/>
          </w:tcPr>
          <w:p>
            <w:r>
              <w:rPr>
                <w:b w:val="false"/>
                <w:bCs w:val="false"/>
                <w:color w:val="1F2937"/>
                <w:sz w:val="19"/>
                <w:szCs w:val="19"/>
              </w:rPr>
              <w:t xml:space="preserve">—</w:t>
            </w:r>
          </w:p>
        </w:tc>
      </w:tr>
    </w:tbl>
    <w:p>
      <w:pPr>
        <w:spacing w:after="300"/>
      </w:pPr>
    </w:p>
    <w:p>
      <w:pPr>
        <w:spacing w:after="160" w:line="276"/>
      </w:pPr>
      <w:r>
        <w:rPr>
          <w:b/>
          <w:bCs/>
          <w:i w:val="false"/>
          <w:iCs w:val="false"/>
          <w:color w:val="1F2937"/>
          <w:sz w:val="22"/>
          <w:szCs w:val="22"/>
        </w:rPr>
        <w:t xml:space="preserve">Bij een grote groep (meer dan twaalf deelnemers): </w:t>
      </w:r>
      <w:r>
        <w:rPr>
          <w:b w:val="false"/>
          <w:bCs w:val="false"/>
          <w:i w:val="false"/>
          <w:iCs w:val="false"/>
          <w:color w:val="1F2937"/>
          <w:sz w:val="22"/>
          <w:szCs w:val="22"/>
        </w:rPr>
        <w:t xml:space="preserve">organiseer parallelle rollenspelgroepen met meerdere begeleiders of ervaren deelnemers als extra examinatoren. Twee volledige simulatierondes per deelnemer binnen twee dagdelen vragen ruimte; reken op minstens drie ruimtes bij een groep van vijftien of meer.</w:t>
      </w:r>
    </w:p>
    <w:p>
      <w:pPr>
        <w:spacing w:after="160" w:line="276"/>
      </w:pPr>
      <w:r>
        <w:rPr>
          <w:b/>
          <w:bCs/>
          <w:i w:val="false"/>
          <w:iCs w:val="false"/>
          <w:color w:val="1F2937"/>
          <w:sz w:val="22"/>
          <w:szCs w:val="22"/>
        </w:rPr>
        <w:t xml:space="preserve">Bij een kleine groep (vier tot zes deelnemers): </w:t>
      </w:r>
      <w:r>
        <w:rPr>
          <w:b w:val="false"/>
          <w:bCs w:val="false"/>
          <w:i w:val="false"/>
          <w:iCs w:val="false"/>
          <w:color w:val="1F2937"/>
          <w:sz w:val="22"/>
          <w:szCs w:val="22"/>
        </w:rPr>
        <w:t xml:space="preserve">u kunt zelf in elk panel meedraaien als tweede of derde examinator, wat de kwaliteit van de doorvraag verhoogt. Gebruik dat om zelf de zeven vraagtypen te modelleren in de eerste ronde.</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Positionering (slides 2–6)</w:t>
      </w:r>
    </w:p>
    <w:p>
      <w:pPr>
        <w:spacing w:after="160" w:line="276"/>
      </w:pPr>
      <w:r>
        <w:rPr>
          <w:b/>
          <w:bCs/>
          <w:i w:val="false"/>
          <w:iCs w:val="false"/>
          <w:color w:val="1F2937"/>
          <w:sz w:val="22"/>
          <w:szCs w:val="22"/>
        </w:rPr>
        <w:t xml:space="preserve">Slide 4 is de kernzin van het hele deel </w:t>
      </w:r>
      <w:r>
        <w:rPr>
          <w:b w:val="false"/>
          <w:bCs w:val="false"/>
          <w:i w:val="false"/>
          <w:iCs w:val="false"/>
          <w:color w:val="1F2937"/>
          <w:sz w:val="22"/>
          <w:szCs w:val="22"/>
        </w:rPr>
        <w:t xml:space="preserve">en moet vroeg en helder staan: het interview toetst niet de opdracht, het toetst of de kandidaat de opdracht is.</w:t>
      </w:r>
    </w:p>
    <w:p>
      <w:pPr>
        <w:spacing w:after="160" w:line="276"/>
      </w:pPr>
      <w:r>
        <w:rPr>
          <w:b/>
          <w:bCs/>
          <w:i w:val="false"/>
          <w:iCs w:val="false"/>
          <w:color w:val="1F2937"/>
          <w:sz w:val="22"/>
          <w:szCs w:val="22"/>
        </w:rPr>
        <w:t xml:space="preserve">Slide 5 is een krachtig moment als u het goed regisseert. </w:t>
      </w:r>
      <w:r>
        <w:rPr>
          <w:b w:val="false"/>
          <w:bCs w:val="false"/>
          <w:i w:val="false"/>
          <w:iCs w:val="false"/>
          <w:color w:val="1F2937"/>
          <w:sz w:val="22"/>
          <w:szCs w:val="22"/>
        </w:rPr>
        <w:t xml:space="preserve">Vraag de groep, voordat u de slide toont, welke vaardigheden zij denken dat een interview toetst. Laat ze zelf een lijst maken. Toon dan slide 5 en laat zien hoe die lijst vrijwel exact overeenkomt met wat al geoefend is — inclusief de verwijzing naar de delen waar het vandaan komt. </w:t>
      </w:r>
      <w:r>
        <w:rPr>
          <w:b/>
          <w:bCs/>
          <w:i w:val="false"/>
          <w:iCs w:val="false"/>
          <w:color w:val="1F2937"/>
          <w:sz w:val="22"/>
          <w:szCs w:val="22"/>
        </w:rPr>
        <w:t xml:space="preserve">Dit vermindert examenangst aanzienlijk: </w:t>
      </w:r>
      <w:r>
        <w:rPr>
          <w:b w:val="false"/>
          <w:bCs w:val="false"/>
          <w:i w:val="false"/>
          <w:iCs w:val="false"/>
          <w:color w:val="1F2937"/>
          <w:sz w:val="22"/>
          <w:szCs w:val="22"/>
        </w:rPr>
        <w:t xml:space="preserve">het interview is geen nieuw obstakel maar de optelsom van al het werk.</w:t>
      </w:r>
    </w:p>
    <w:p>
      <w:pPr>
        <w:pStyle w:val="Heading2"/>
        <w:spacing w:after="140" w:before="260"/>
      </w:pPr>
      <w:r>
        <w:rPr>
          <w:b/>
          <w:bCs/>
          <w:color w:val="4A6789"/>
          <w:sz w:val="24"/>
          <w:szCs w:val="24"/>
        </w:rPr>
        <w:t xml:space="preserve">3.2 De presentatie (slides 7–11)</w:t>
      </w:r>
    </w:p>
    <w:p>
      <w:pPr>
        <w:spacing w:after="160" w:line="276"/>
      </w:pPr>
      <w:r>
        <w:rPr>
          <w:b/>
          <w:bCs/>
          <w:i w:val="false"/>
          <w:iCs w:val="false"/>
          <w:color w:val="1F2937"/>
          <w:sz w:val="22"/>
          <w:szCs w:val="22"/>
        </w:rPr>
        <w:t xml:space="preserve">Slide 8 verdient nadruk en oefening. </w:t>
      </w:r>
      <w:r>
        <w:rPr>
          <w:b w:val="false"/>
          <w:bCs w:val="false"/>
          <w:i w:val="false"/>
          <w:iCs w:val="false"/>
          <w:color w:val="1F2937"/>
          <w:sz w:val="22"/>
          <w:szCs w:val="22"/>
        </w:rPr>
        <w:t xml:space="preserve">Veel deelnemers, ook na zevenentwintig delen, vervallen bij een presentatie terug in de reflex om alles te vertellen. Herinner hier expliciet aan deel 19: een presentatie is geen samenvatting van uw documentatie.</w:t>
      </w:r>
    </w:p>
    <w:p>
      <w:pPr>
        <w:spacing w:after="160" w:line="276"/>
      </w:pPr>
      <w:r>
        <w:rPr>
          <w:b/>
          <w:bCs/>
          <w:i w:val="false"/>
          <w:iCs w:val="false"/>
          <w:color w:val="1F2937"/>
          <w:sz w:val="22"/>
          <w:szCs w:val="22"/>
        </w:rPr>
        <w:t xml:space="preserve">Opdracht 28.1 en 28.2 — houd het tempo hoog. </w:t>
      </w:r>
      <w:r>
        <w:rPr>
          <w:b w:val="false"/>
          <w:bCs w:val="false"/>
          <w:i w:val="false"/>
          <w:iCs w:val="false"/>
          <w:color w:val="1F2937"/>
          <w:sz w:val="22"/>
          <w:szCs w:val="22"/>
        </w:rPr>
        <w:t xml:space="preserve">Dit zijn analyseopdrachten en zij mogen niet uitlopen ten koste van de simulatietijd, die het echte leermoment van dit dagdeel is.</w:t>
      </w:r>
    </w:p>
    <w:p>
      <w:pPr>
        <w:spacing w:after="160" w:line="276"/>
      </w:pPr>
      <w:r>
        <w:rPr>
          <w:color w:val="1F2937"/>
          <w:sz w:val="22"/>
          <w:szCs w:val="22"/>
        </w:rPr>
        <w:t xml:space="preserve">Bij de bespreking van bijlage DB (het gestrande interview), benadruk het onderscheid tussen inhoud, presentatie en reactie op doorvraag (uitwerking 28.2b). Dit onderscheid helpt deelnemers straks hun eigen zwakke punten preciezer te diagnosticeren in plaats van vaag te concluderen “het ging niet goed”.</w:t>
      </w:r>
    </w:p>
    <w:p>
      <w:pPr>
        <w:pStyle w:val="Heading2"/>
        <w:spacing w:after="140" w:before="260"/>
      </w:pPr>
      <w:r>
        <w:rPr>
          <w:b/>
          <w:bCs/>
          <w:color w:val="4A6789"/>
          <w:sz w:val="24"/>
          <w:szCs w:val="24"/>
        </w:rPr>
        <w:t xml:space="preserve">3.3 Opdracht 28.1 (30 minuten)</w:t>
      </w:r>
    </w:p>
    <w:p>
      <w:pPr>
        <w:spacing w:after="160" w:line="276"/>
      </w:pPr>
      <w:r>
        <w:rPr>
          <w:b/>
          <w:bCs/>
          <w:i w:val="false"/>
          <w:iCs w:val="false"/>
          <w:color w:val="1F2937"/>
          <w:sz w:val="22"/>
          <w:szCs w:val="22"/>
        </w:rPr>
        <w:t xml:space="preserve">Dit is de enige opdracht waarin niet aan eigen materiaal wordt gewerkt, </w:t>
      </w:r>
      <w:r>
        <w:rPr>
          <w:b w:val="false"/>
          <w:bCs w:val="false"/>
          <w:i w:val="false"/>
          <w:iCs w:val="false"/>
          <w:color w:val="1F2937"/>
          <w:sz w:val="22"/>
          <w:szCs w:val="22"/>
        </w:rPr>
        <w:t xml:space="preserve">en zij is daarom uw beste kans om de criteria te laten landen voordat mensen kiezen.</w:t>
      </w:r>
    </w:p>
    <w:p>
      <w:pPr>
        <w:spacing w:after="160" w:line="276"/>
      </w:pPr>
      <w:r>
        <w:rPr>
          <w:b/>
          <w:bCs/>
          <w:i w:val="false"/>
          <w:iCs w:val="false"/>
          <w:color w:val="1F2937"/>
          <w:sz w:val="22"/>
          <w:szCs w:val="22"/>
        </w:rPr>
        <w:t xml:space="preserve">Plenair bij d) en e).</w:t>
      </w:r>
    </w:p>
    <w:p>
      <w:pPr>
        <w:spacing w:after="160" w:line="276"/>
      </w:pPr>
      <w:r>
        <w:rPr>
          <w:b/>
          <w:bCs/>
          <w:i w:val="false"/>
          <w:iCs w:val="false"/>
          <w:color w:val="1F2937"/>
          <w:sz w:val="22"/>
          <w:szCs w:val="22"/>
        </w:rPr>
        <w:t xml:space="preserve">Bij d) is het getal het argument: </w:t>
      </w:r>
      <w:r>
        <w:rPr>
          <w:b w:val="false"/>
          <w:bCs w:val="false"/>
          <w:i w:val="false"/>
          <w:iCs w:val="false"/>
          <w:color w:val="1F2937"/>
          <w:sz w:val="22"/>
          <w:szCs w:val="22"/>
        </w:rPr>
        <w:t xml:space="preserve">negen, één en vier beslissingen met alternatief. Dat correleert vrijwel volledig met de kwaliteit, en het is een toets die deelnemers op hun eigen concept kunnen loslaten.</w:t>
      </w:r>
    </w:p>
    <w:p>
      <w:pPr>
        <w:spacing w:after="160" w:line="276"/>
      </w:pPr>
      <w:r>
        <w:rPr>
          <w:b/>
          <w:bCs/>
          <w:i w:val="false"/>
          <w:iCs w:val="false"/>
          <w:color w:val="1F2937"/>
          <w:sz w:val="22"/>
          <w:szCs w:val="22"/>
        </w:rPr>
        <w:t xml:space="preserve">Bij e) legt u de spanning bloot </w:t>
      </w:r>
      <w:r>
        <w:rPr>
          <w:b w:val="false"/>
          <w:bCs w:val="false"/>
          <w:i w:val="false"/>
          <w:iCs w:val="false"/>
          <w:color w:val="1F2937"/>
          <w:sz w:val="22"/>
          <w:szCs w:val="22"/>
        </w:rPr>
        <w:t xml:space="preserve">tussen wat prettig is om te vertellen en wat goed materiaal is. Vrijwel iedereen zou het liefst het technisch indrukwekkende systeem verdedigen; het best verdedigbaar is het systeem met de bijgestuurde migratie.</w:t>
      </w:r>
    </w:p>
    <w:p>
      <w:pPr>
        <w:spacing w:after="160" w:line="276"/>
      </w:pPr>
      <w:r>
        <w:rPr>
          <w:color w:val="1F2937"/>
          <w:sz w:val="22"/>
          <w:szCs w:val="22"/>
        </w:rPr>
        <w:t xml:space="preserve">Vermeld de derde opdracht kort maar nadrukkelijk: zij strandde op vormvereisten en werd niet inhoudelijk beoordeeld. Dat is de goedkoopste fout die er is, en de maatregel kost tien minuten: lees de actuele eisen vóór het schrijven en opnieuw vóór het indienen.</w:t>
      </w:r>
    </w:p>
    <w:p>
      <w:pPr>
        <w:pStyle w:val="Heading2"/>
        <w:spacing w:after="140" w:before="260"/>
      </w:pPr>
      <w:r>
        <w:rPr>
          <w:b/>
          <w:bCs/>
          <w:color w:val="4A6789"/>
          <w:sz w:val="24"/>
          <w:szCs w:val="24"/>
        </w:rPr>
        <w:t xml:space="preserve">3.4 Opdracht 28.3 — het scharnier tussen theorie en simulatie</w:t>
      </w:r>
    </w:p>
    <w:p>
      <w:pPr>
        <w:spacing w:after="160" w:line="276"/>
      </w:pPr>
      <w:r>
        <w:rPr>
          <w:color w:val="1F2937"/>
          <w:sz w:val="22"/>
          <w:szCs w:val="22"/>
        </w:rPr>
        <w:t xml:space="preserve">Dit blok (slides 12–16) is compact en dat is bewust — de vraagtypen zijn geen nieuwe stof maar een ordening van bekende stof. Ga niet uitgebreid elk type opnieuw uitleggen; laat de groep bij elk type zelf een deel van de cursus noemen waarin zij het al oefenden.</w:t>
      </w:r>
    </w:p>
    <w:p>
      <w:pPr>
        <w:spacing w:after="160" w:line="276"/>
      </w:pPr>
      <w:r>
        <w:rPr>
          <w:b/>
          <w:bCs/>
          <w:i w:val="false"/>
          <w:iCs w:val="false"/>
          <w:color w:val="1F2937"/>
          <w:sz w:val="22"/>
          <w:szCs w:val="22"/>
        </w:rPr>
        <w:t xml:space="preserve">Slide 15 is het scherpste punt van dagdeel A </w:t>
      </w:r>
      <w:r>
        <w:rPr>
          <w:b w:val="false"/>
          <w:bCs w:val="false"/>
          <w:i w:val="false"/>
          <w:iCs w:val="false"/>
          <w:color w:val="1F2937"/>
          <w:sz w:val="22"/>
          <w:szCs w:val="22"/>
        </w:rPr>
        <w:t xml:space="preserve">en verdient een moment stilte: de integriteitsvraag komt altijd, en wie in deel 22 een systeem koos zonder iets dat misging, heeft hier een probleem. Als u signalen hebt van deelnemers bij wie dit speelt (zie de signalenlijst in eerdere docentenhandleidingen, met name deel 22 en 25), spreek hen voorafgaand aan de simulatie individueel aan.</w:t>
      </w:r>
    </w:p>
    <w:p>
      <w:pPr>
        <w:spacing w:after="160" w:line="276"/>
      </w:pPr>
      <w:r>
        <w:rPr>
          <w:b/>
          <w:bCs/>
          <w:i w:val="false"/>
          <w:iCs w:val="false"/>
          <w:color w:val="1F2937"/>
          <w:sz w:val="22"/>
          <w:szCs w:val="22"/>
        </w:rPr>
        <w:t xml:space="preserve">Opdracht 28.3 (checklist en presentatie voorbereiden) is het scharnier tussen theorie en simulatie. </w:t>
      </w:r>
      <w:r>
        <w:rPr>
          <w:b w:val="false"/>
          <w:bCs w:val="false"/>
          <w:i w:val="false"/>
          <w:iCs w:val="false"/>
          <w:color w:val="1F2937"/>
          <w:sz w:val="22"/>
          <w:szCs w:val="22"/>
        </w:rPr>
        <w:t xml:space="preserve">Loop actief rond tijdens deze dertig minuten. De meest voorkomende blokkade is checklistpunt 10 (oprechte twijfel tonen) — deelnemers vinden het onnatuurlijk om een zwakte te benoemen vlak voordat zij beoordeeld worden. Herinner aan slide 20 van dagdeel B (die zij dan nog niet hebben gezien, maar u kunt de kern vooruit delen): een erkend zwak punt is sterker dan een verborgen zwak punt.</w:t>
      </w:r>
    </w:p>
    <w:p>
      <w:pPr>
        <w:pStyle w:val="Heading2"/>
        <w:spacing w:after="140" w:before="260"/>
      </w:pPr>
      <w:r>
        <w:rPr>
          <w:b/>
          <w:bCs/>
          <w:color w:val="4A6789"/>
          <w:sz w:val="24"/>
          <w:szCs w:val="24"/>
        </w:rPr>
        <w:t xml:space="preserve">3.5 De eerste simulatieronde (opdracht 28.4, 90 minuten)</w:t>
      </w:r>
    </w:p>
    <w:p>
      <w:pPr>
        <w:spacing w:after="160" w:line="276"/>
      </w:pPr>
      <w:r>
        <w:rPr>
          <w:b/>
          <w:bCs/>
          <w:i w:val="false"/>
          <w:iCs w:val="false"/>
          <w:color w:val="1F2937"/>
          <w:sz w:val="22"/>
          <w:szCs w:val="22"/>
        </w:rPr>
        <w:t xml:space="preserve">Dit is het emotionele en leerkundige hart van dagdeel A.</w:t>
      </w:r>
    </w:p>
    <w:p>
      <w:pPr>
        <w:spacing w:after="160" w:line="276"/>
      </w:pPr>
      <w:r>
        <w:rPr>
          <w:b/>
          <w:bCs/>
          <w:i w:val="false"/>
          <w:iCs w:val="false"/>
          <w:color w:val="1F2937"/>
          <w:sz w:val="22"/>
          <w:szCs w:val="22"/>
        </w:rPr>
        <w:t xml:space="preserve">Verdeel de groepen zorgvuldig. </w:t>
      </w:r>
      <w:r>
        <w:rPr>
          <w:b w:val="false"/>
          <w:bCs w:val="false"/>
          <w:i w:val="false"/>
          <w:iCs w:val="false"/>
          <w:color w:val="1F2937"/>
          <w:sz w:val="22"/>
          <w:szCs w:val="22"/>
        </w:rPr>
        <w:t xml:space="preserve">Vermijd dat mensen met sterk vergelijkbare achtergronden of technische domeinen in hetzelfde drietal zitten — een examinator die het onderwerp goed kent, stelt scherpere vragen dan een examinator die alles moet aannemen.</w:t>
      </w:r>
    </w:p>
    <w:p>
      <w:pPr>
        <w:spacing w:after="160" w:line="276"/>
      </w:pPr>
      <w:r>
        <w:rPr>
          <w:b/>
          <w:bCs/>
          <w:i w:val="false"/>
          <w:iCs w:val="false"/>
          <w:color w:val="1F2937"/>
          <w:sz w:val="22"/>
          <w:szCs w:val="22"/>
        </w:rPr>
        <w:t xml:space="preserve">Deel bijlage DD (de examinatorprofielen) vooraf uit </w:t>
      </w:r>
      <w:r>
        <w:rPr>
          <w:b w:val="false"/>
          <w:bCs w:val="false"/>
          <w:i w:val="false"/>
          <w:iCs w:val="false"/>
          <w:color w:val="1F2937"/>
          <w:sz w:val="22"/>
          <w:szCs w:val="22"/>
        </w:rPr>
        <w:t xml:space="preserve">en leg kort uit: één profiel richt zich op methodisch-technische diepgang, één op communicatief-bestuurlijke aspecten. Bij drietallen kan één persoon beide invalshoeken proberen te dekken, wat lastiger is en een goede leerervaring op zichzelf.</w:t>
      </w:r>
    </w:p>
    <w:p>
      <w:pPr>
        <w:spacing w:after="160" w:line="276"/>
      </w:pPr>
      <w:r>
        <w:rPr>
          <w:b/>
          <w:bCs/>
          <w:i w:val="false"/>
          <w:iCs w:val="false"/>
          <w:color w:val="1F2937"/>
          <w:sz w:val="22"/>
          <w:szCs w:val="22"/>
        </w:rPr>
        <w:t xml:space="preserve">Bewaak de tijd strikt </w:t>
      </w:r>
      <w:r>
        <w:rPr>
          <w:b w:val="false"/>
          <w:bCs w:val="false"/>
          <w:i w:val="false"/>
          <w:iCs w:val="false"/>
          <w:color w:val="1F2937"/>
          <w:sz w:val="22"/>
          <w:szCs w:val="22"/>
        </w:rPr>
        <w:t xml:space="preserve">— vijf minuten presentatie, vijftien minuten vragen, vijf minuten terugkoppeling, per ronde. Overschrijding is de meest voorkomende praktische valkuil van dit deel en zij gaat ten koste van het aantal deelnemers dat als kandidaat aan bod komt.</w:t>
      </w:r>
    </w:p>
    <w:p>
      <w:pPr>
        <w:spacing w:after="160" w:line="276"/>
      </w:pPr>
      <w:r>
        <w:rPr>
          <w:color w:val="1F2937"/>
          <w:sz w:val="22"/>
          <w:szCs w:val="22"/>
        </w:rPr>
        <w:t xml:space="preserve">Loop rond tijdens de rondes en noteer zelf bijzonderheden — u hebt deze informatie nodig om dagdeel B te richten op wat er in de praktijk misging, in plaats van op wat u vooraf verwachtte.</w:t>
      </w:r>
    </w:p>
    <w:p>
      <w:pPr>
        <w:pStyle w:val="Heading2"/>
        <w:spacing w:after="140" w:before="260"/>
      </w:pPr>
      <w:r>
        <w:rPr>
          <w:b/>
          <w:bCs/>
          <w:color w:val="4A6789"/>
          <w:sz w:val="24"/>
          <w:szCs w:val="24"/>
        </w:rPr>
        <w:t xml:space="preserve">3.6 Reflectie en huiswerk (einde dagdeel A)</w:t>
      </w:r>
    </w:p>
    <w:p>
      <w:pPr>
        <w:spacing w:after="160" w:line="276"/>
      </w:pPr>
      <w:r>
        <w:rPr>
          <w:b/>
          <w:bCs/>
          <w:i w:val="false"/>
          <w:iCs w:val="false"/>
          <w:color w:val="1F2937"/>
          <w:sz w:val="22"/>
          <w:szCs w:val="22"/>
        </w:rPr>
        <w:t xml:space="preserve">Stuur het huiswerk (opdracht 28.5) expliciet aan </w:t>
      </w:r>
      <w:r>
        <w:rPr>
          <w:b w:val="false"/>
          <w:bCs w:val="false"/>
          <w:i w:val="false"/>
          <w:iCs w:val="false"/>
          <w:color w:val="1F2937"/>
          <w:sz w:val="22"/>
          <w:szCs w:val="22"/>
        </w:rPr>
        <w:t xml:space="preserve">en benadruk dat het geen formaliteit is: de herschrijving van het lastigste antwoord is precies wat het verschil maakt tussen ronde 1 en ronde 2. Deelnemers die dit overslaan, herhalen in dagdeel B dezelfde fouten.</w:t>
      </w:r>
    </w:p>
    <w:p>
      <w:pPr>
        <w:pStyle w:val="Heading2"/>
        <w:spacing w:after="140" w:before="260"/>
      </w:pPr>
      <w:r>
        <w:rPr>
          <w:b/>
          <w:bCs/>
          <w:color w:val="4A6789"/>
          <w:sz w:val="24"/>
          <w:szCs w:val="24"/>
        </w:rPr>
        <w:t xml:space="preserve">3.7 Opening dagdeel B: kritische doorvraag (slides 18–22)</w:t>
      </w:r>
    </w:p>
    <w:p>
      <w:pPr>
        <w:spacing w:after="160" w:line="276"/>
      </w:pPr>
      <w:r>
        <w:rPr>
          <w:b/>
          <w:bCs/>
          <w:i w:val="false"/>
          <w:iCs w:val="false"/>
          <w:color w:val="1F2937"/>
          <w:sz w:val="22"/>
          <w:szCs w:val="22"/>
        </w:rPr>
        <w:t xml:space="preserve">Begin met een korte, informele inventarisatie: </w:t>
      </w:r>
      <w:r>
        <w:rPr>
          <w:b w:val="false"/>
          <w:bCs w:val="false"/>
          <w:i w:val="false"/>
          <w:iCs w:val="false"/>
          <w:color w:val="1F2937"/>
          <w:sz w:val="22"/>
          <w:szCs w:val="22"/>
        </w:rPr>
        <w:t xml:space="preserve">wie herkende in ronde 1 het patroon van omvallen bij tegenwerping, en wie het patroon van alles wegredeneren? Beide komen voor, en het is nuttig dat de groep ziet dat zij niet alleen staat met de ene of de andere neiging.</w:t>
      </w:r>
    </w:p>
    <w:p>
      <w:pPr>
        <w:spacing w:after="160" w:line="276"/>
      </w:pPr>
      <w:r>
        <w:rPr>
          <w:b/>
          <w:bCs/>
          <w:i w:val="false"/>
          <w:iCs w:val="false"/>
          <w:color w:val="1F2937"/>
          <w:sz w:val="22"/>
          <w:szCs w:val="22"/>
        </w:rPr>
        <w:t xml:space="preserve">Slide 20 en 21 zijn de kern van dit blok en zij komen rechtstreeks uit deel 10. </w:t>
      </w:r>
      <w:r>
        <w:rPr>
          <w:b w:val="false"/>
          <w:bCs w:val="false"/>
          <w:i w:val="false"/>
          <w:iCs w:val="false"/>
          <w:color w:val="1F2937"/>
          <w:sz w:val="22"/>
          <w:szCs w:val="22"/>
        </w:rPr>
        <w:t xml:space="preserve">Herhaal ze bewust — dit is de derde keer in de cursus dat dit exacte instrumentarium wordt gepresenteerd (deel 10, deel 20, nu deel 28), en die herhaling is functioneel: het is precies het soort principe dat onder druk het eerst wordt vergeten.</w:t>
      </w:r>
    </w:p>
    <w:p>
      <w:pPr>
        <w:spacing w:after="160" w:line="276"/>
      </w:pPr>
      <w:r>
        <w:rPr>
          <w:b/>
          <w:bCs/>
          <w:i w:val="false"/>
          <w:iCs w:val="false"/>
          <w:color w:val="1F2937"/>
          <w:sz w:val="22"/>
          <w:szCs w:val="22"/>
        </w:rPr>
        <w:t xml:space="preserve">Slide 22 (stilte laten vallen) is voor veel deelnemers nieuw en contra-intuïtief. </w:t>
      </w:r>
      <w:r>
        <w:rPr>
          <w:b w:val="false"/>
          <w:bCs w:val="false"/>
          <w:i w:val="false"/>
          <w:iCs w:val="false"/>
          <w:color w:val="1F2937"/>
          <w:sz w:val="22"/>
          <w:szCs w:val="22"/>
        </w:rPr>
        <w:t xml:space="preserve">Oefen het expliciet: laat iemand een kort antwoord geven en vraag de groep hardop te tellen tot vijf voordat er iets volgt. De ongemakkelijkheid van die stilte is precies wat geoefend moet worden — in een echt interview voelt die stilte oneindig langer dan hij is, en de reflex om hem te vullen is sterk.</w:t>
      </w:r>
    </w:p>
    <w:p>
      <w:pPr>
        <w:pStyle w:val="Heading2"/>
        <w:spacing w:after="140" w:before="260"/>
      </w:pPr>
      <w:r>
        <w:rPr>
          <w:b/>
          <w:bCs/>
          <w:color w:val="4A6789"/>
          <w:sz w:val="24"/>
          <w:szCs w:val="24"/>
        </w:rPr>
        <w:t xml:space="preserve">3.8 De tweede simulatieronde (opdracht 28.6, 90 minuten)</w:t>
      </w:r>
    </w:p>
    <w:p>
      <w:pPr>
        <w:spacing w:after="160" w:line="276"/>
      </w:pPr>
      <w:r>
        <w:rPr>
          <w:b/>
          <w:bCs/>
          <w:i w:val="false"/>
          <w:iCs w:val="false"/>
          <w:color w:val="1F2937"/>
          <w:sz w:val="22"/>
          <w:szCs w:val="22"/>
        </w:rPr>
        <w:t xml:space="preserve">Wissel de groepssamenstelling volledig. </w:t>
      </w:r>
      <w:r>
        <w:rPr>
          <w:b w:val="false"/>
          <w:bCs w:val="false"/>
          <w:i w:val="false"/>
          <w:iCs w:val="false"/>
          <w:color w:val="1F2937"/>
          <w:sz w:val="22"/>
          <w:szCs w:val="22"/>
        </w:rPr>
        <w:t xml:space="preserve">Dit is essentieel: een nieuw panel dat de kandidaat niet kent, benadert dichter bij de echte situatie dan een panel dat na ronde 1 al weet wat er komt.</w:t>
      </w:r>
    </w:p>
    <w:p>
      <w:pPr>
        <w:spacing w:after="160" w:line="276"/>
      </w:pPr>
      <w:r>
        <w:rPr>
          <w:b/>
          <w:bCs/>
          <w:i w:val="false"/>
          <w:iCs w:val="false"/>
          <w:color w:val="1F2937"/>
          <w:sz w:val="22"/>
          <w:szCs w:val="22"/>
        </w:rPr>
        <w:t xml:space="preserve">De verplichte tweede tegenwerping is de belangrijkste toevoeging ten opzichte van ronde 1. </w:t>
      </w:r>
      <w:r>
        <w:rPr>
          <w:b w:val="false"/>
          <w:bCs w:val="false"/>
          <w:i w:val="false"/>
          <w:iCs w:val="false"/>
          <w:color w:val="1F2937"/>
          <w:sz w:val="22"/>
          <w:szCs w:val="22"/>
        </w:rPr>
        <w:t xml:space="preserve">Instrueer de examinatoren hier expliciet op: bij elk antwoord minstens één keer doorvragen met een nieuw argument, niet alleen “waarom denkt u dat” herhalen. Dit test of de kandidaat de grond van zijn antwoord kan vasthouden zonder star te worden.</w:t>
      </w:r>
    </w:p>
    <w:p>
      <w:pPr>
        <w:spacing w:after="160" w:line="276"/>
      </w:pPr>
      <w:r>
        <w:rPr>
          <w:b/>
          <w:bCs/>
          <w:i w:val="false"/>
          <w:iCs w:val="false"/>
          <w:color w:val="1F2937"/>
          <w:sz w:val="22"/>
          <w:szCs w:val="22"/>
        </w:rPr>
        <w:t xml:space="preserve">De verplichte integriteitsvraag </w:t>
      </w:r>
      <w:r>
        <w:rPr>
          <w:b w:val="false"/>
          <w:bCs w:val="false"/>
          <w:i w:val="false"/>
          <w:iCs w:val="false"/>
          <w:color w:val="1F2937"/>
          <w:sz w:val="22"/>
          <w:szCs w:val="22"/>
        </w:rPr>
        <w:t xml:space="preserve">zorgt dat elke kandidaat minstens één keer het moeilijke-moment-verhaal moet vertellen. Dit is waar de systeemkeuze uit deel 22 zich definitief uitbetaalt of wreekt. Als een kandidaat hier zichtbaar worstelt, is dat waardevolle informatie voor de zelfbeoordeling die volgt — niet iets om tijdens de simulatie zelf te redden.</w:t>
      </w:r>
    </w:p>
    <w:p>
      <w:pPr>
        <w:pStyle w:val="Heading2"/>
        <w:spacing w:after="140" w:before="260"/>
      </w:pPr>
      <w:r>
        <w:rPr>
          <w:b/>
          <w:bCs/>
          <w:color w:val="4A6789"/>
          <w:sz w:val="24"/>
          <w:szCs w:val="24"/>
        </w:rPr>
        <w:t xml:space="preserve">3.9 Zelfbeoordeling (opdracht 28.7, 25 minuten)</w:t>
      </w:r>
    </w:p>
    <w:p>
      <w:pPr>
        <w:spacing w:after="160" w:line="276"/>
      </w:pPr>
      <w:r>
        <w:rPr>
          <w:b/>
          <w:bCs/>
          <w:i w:val="false"/>
          <w:iCs w:val="false"/>
          <w:color w:val="1F2937"/>
          <w:sz w:val="22"/>
          <w:szCs w:val="22"/>
        </w:rPr>
        <w:t xml:space="preserve">Laat deelnemers eerlijk de vijf criteria uit deel 10 op zichzelf toepassen, vóórdat zij de formulieren van hun panels bekijken. </w:t>
      </w:r>
      <w:r>
        <w:rPr>
          <w:b w:val="false"/>
          <w:bCs w:val="false"/>
          <w:i w:val="false"/>
          <w:iCs w:val="false"/>
          <w:color w:val="1F2937"/>
          <w:sz w:val="22"/>
          <w:szCs w:val="22"/>
        </w:rPr>
        <w:t xml:space="preserve">De vergelijking tussen zelfbeeld en panelbeeld (onderdeel b) is vaak het meest verhelderende moment van dit onderdeel — grote verschillen zijn zelf een signaal.</w:t>
      </w:r>
    </w:p>
    <w:p>
      <w:pPr>
        <w:pStyle w:val="Heading2"/>
        <w:spacing w:after="140" w:before="260"/>
      </w:pPr>
      <w:r>
        <w:rPr>
          <w:b/>
          <w:bCs/>
          <w:color w:val="4A6789"/>
          <w:sz w:val="24"/>
          <w:szCs w:val="24"/>
        </w:rPr>
        <w:t xml:space="preserve">3.10 De boog van de cursus (slides 25–29, opdracht 28.8)</w:t>
      </w:r>
    </w:p>
    <w:p>
      <w:pPr>
        <w:spacing w:after="160" w:line="276"/>
      </w:pPr>
      <w:r>
        <w:rPr>
          <w:b/>
          <w:bCs/>
          <w:i w:val="false"/>
          <w:iCs w:val="false"/>
          <w:color w:val="1F2937"/>
          <w:sz w:val="22"/>
          <w:szCs w:val="22"/>
        </w:rPr>
        <w:t xml:space="preserve">Dit onderdeel verdient uw volle aandacht en mag niet worden ingekort ten gunste van meer simulatietijd, </w:t>
      </w:r>
      <w:r>
        <w:rPr>
          <w:b w:val="false"/>
          <w:bCs w:val="false"/>
          <w:i w:val="false"/>
          <w:iCs w:val="false"/>
          <w:color w:val="1F2937"/>
          <w:sz w:val="22"/>
          <w:szCs w:val="22"/>
        </w:rPr>
        <w:t xml:space="preserve">hoe verleidelijk dat ook is na twee intensieve rondes.</w:t>
      </w:r>
    </w:p>
    <w:p>
      <w:pPr>
        <w:spacing w:after="160" w:line="276"/>
      </w:pPr>
      <w:r>
        <w:rPr>
          <w:b/>
          <w:bCs/>
          <w:i w:val="false"/>
          <w:iCs w:val="false"/>
          <w:color w:val="1F2937"/>
          <w:sz w:val="22"/>
          <w:szCs w:val="22"/>
        </w:rPr>
        <w:t xml:space="preserve">Laat de groep bij opdracht 28.8a echt uit het geheugen werken, zonder dossiers erbij te pakken. </w:t>
      </w:r>
      <w:r>
        <w:rPr>
          <w:b w:val="false"/>
          <w:bCs w:val="false"/>
          <w:i w:val="false"/>
          <w:iCs w:val="false"/>
          <w:color w:val="1F2937"/>
          <w:sz w:val="22"/>
          <w:szCs w:val="22"/>
        </w:rPr>
        <w:t xml:space="preserve">Het punt is niet volledigheid maar het testen wat is blijven hangen — en dat is zelf een demonstratie van slide 29: niet alle details blijven, het patroon wel.</w:t>
      </w:r>
    </w:p>
    <w:p>
      <w:pPr>
        <w:spacing w:after="160" w:line="276"/>
      </w:pPr>
      <w:r>
        <w:rPr>
          <w:b/>
          <w:bCs/>
          <w:i w:val="false"/>
          <w:iCs w:val="false"/>
          <w:color w:val="1F2937"/>
          <w:sz w:val="22"/>
          <w:szCs w:val="22"/>
        </w:rPr>
        <w:t xml:space="preserve">Slide 27 is de samenvatting die de hele cursus draagt. </w:t>
      </w:r>
      <w:r>
        <w:rPr>
          <w:b w:val="false"/>
          <w:bCs w:val="false"/>
          <w:i w:val="false"/>
          <w:iCs w:val="false"/>
          <w:color w:val="1F2937"/>
          <w:sz w:val="22"/>
          <w:szCs w:val="22"/>
        </w:rPr>
        <w:t xml:space="preserve">Lees de drie patronen langzaam voor en laat na elk een korte stilte vallen voordat u naar de volgende gaat. Dit is niet overdreven plechtstatig voor een cursus van acht-en-twintig delen — het verdient het moment.</w:t>
      </w:r>
    </w:p>
    <w:p>
      <w:pPr>
        <w:pStyle w:val="Heading2"/>
        <w:spacing w:after="140" w:before="260"/>
      </w:pPr>
      <w:r>
        <w:rPr>
          <w:b/>
          <w:bCs/>
          <w:color w:val="4A6789"/>
          <w:sz w:val="24"/>
          <w:szCs w:val="24"/>
        </w:rPr>
        <w:t xml:space="preserve">3.11 Afsluiting (slides 30–32)</w:t>
      </w:r>
    </w:p>
    <w:p>
      <w:pPr>
        <w:spacing w:after="160" w:line="276"/>
      </w:pPr>
      <w:r>
        <w:rPr>
          <w:b/>
          <w:bCs/>
          <w:i w:val="false"/>
          <w:iCs w:val="false"/>
          <w:color w:val="1F2937"/>
          <w:sz w:val="22"/>
          <w:szCs w:val="22"/>
        </w:rPr>
        <w:t xml:space="preserve">Wees eerlijk over wat de cursus wel en niet garandeert. </w:t>
      </w:r>
      <w:r>
        <w:rPr>
          <w:b w:val="false"/>
          <w:bCs w:val="false"/>
          <w:i w:val="false"/>
          <w:iCs w:val="false"/>
          <w:color w:val="1F2937"/>
          <w:sz w:val="22"/>
          <w:szCs w:val="22"/>
        </w:rPr>
        <w:t xml:space="preserve">Zij bereidt inhoudelijk voor; zij is geen vervanging voor het officiële traject en garandeert geen uitslag. Herhaal de verwijzing naar isaqb.org nog één keer, want dit is het laatste moment waarop u dat kunt doen.</w:t>
      </w:r>
    </w:p>
    <w:p>
      <w:pPr>
        <w:spacing w:after="160" w:line="276"/>
      </w:pPr>
      <w:r>
        <w:rPr>
          <w:b/>
          <w:bCs/>
          <w:i w:val="false"/>
          <w:iCs w:val="false"/>
          <w:color w:val="1F2937"/>
          <w:sz w:val="22"/>
          <w:szCs w:val="22"/>
        </w:rPr>
        <w:t xml:space="preserve">Slide 32, de twee gewoontes zonder mandaat, is het praktische afscheidscadeau. </w:t>
      </w:r>
      <w:r>
        <w:rPr>
          <w:b w:val="false"/>
          <w:bCs w:val="false"/>
          <w:i w:val="false"/>
          <w:iCs w:val="false"/>
          <w:color w:val="1F2937"/>
          <w:sz w:val="22"/>
          <w:szCs w:val="22"/>
        </w:rPr>
        <w:t xml:space="preserve">Het is bewust een terugverwijzing naar deel 10 van niveau 1 — laat de groep die verbinding zelf leggen als zij kan: de cursus eindigt waar zij inhoudelijk begon te eindigen, negentien delen eerder, en de rest was uitwerking, beproeving en verzwaring van diezelfde twee gewoontes.</w:t>
      </w:r>
    </w:p>
    <w:p>
      <w:pPr>
        <w:spacing w:after="160" w:line="276"/>
      </w:pPr>
      <w:r>
        <w:rPr>
          <w:b/>
          <w:bCs/>
          <w:i w:val="false"/>
          <w:iCs w:val="false"/>
          <w:color w:val="1F2937"/>
          <w:sz w:val="22"/>
          <w:szCs w:val="22"/>
        </w:rPr>
        <w:t xml:space="preserve">Sluit af met een moment voor persoonlijke afronding. </w:t>
      </w:r>
      <w:r>
        <w:rPr>
          <w:b w:val="false"/>
          <w:bCs w:val="false"/>
          <w:i w:val="false"/>
          <w:iCs w:val="false"/>
          <w:color w:val="1F2937"/>
          <w:sz w:val="22"/>
          <w:szCs w:val="22"/>
        </w:rPr>
        <w:t xml:space="preserve">Vraag, als de groepsgrootte het toelaat, of iedereen in één zin wil delen wat hij meeneemt. Dit hoeft niet lang te duren en het geeft de afsluiting het gewicht die een reeks van deze omvang verdient.</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Een deelnemer heeft geen certificeringsopdracht klaar. </w:t>
      </w:r>
      <w:r>
        <w:rPr>
          <w:color w:val="1F2937"/>
          <w:sz w:val="22"/>
          <w:szCs w:val="22"/>
        </w:rPr>
        <w:t xml:space="preserve">Bespreek dit vooraf, niet op de dag zelf. Bied aan dat hij als examinator meedraait in beide rondes, en plan een individueel inhaalmoment waarin hij alsnog een verkorte presentatie geeft over de stand van zijn opdracht — dat levert nog steeds oefening op, zij het minder volledig.</w:t>
      </w:r>
    </w:p>
    <w:p>
      <w:pPr>
        <w:spacing w:after="160" w:line="276"/>
      </w:pPr>
      <w:r>
        <w:rPr>
          <w:b/>
          <w:bCs/>
          <w:color w:val="1F2937"/>
          <w:sz w:val="22"/>
          <w:szCs w:val="22"/>
        </w:rPr>
        <w:t xml:space="preserve">Een simulatie loopt emotioneel te hoog op </w:t>
      </w:r>
      <w:r>
        <w:rPr>
          <w:color w:val="1F2937"/>
          <w:sz w:val="22"/>
          <w:szCs w:val="22"/>
        </w:rPr>
        <w:t xml:space="preserve">— met name bij deel 26/27-achtige integriteitsvragen kan dit gebeuren als een deelnemer een werkelijk zwaar persoonlijk verhaal deelt. Grijp in met respect: bedank de deelnemer voor de openheid, en stuur het gesprek terug naar de architectuurles die erin zit, niet naar het persoonlijke verhaal zelf.</w:t>
      </w:r>
    </w:p>
    <w:p>
      <w:pPr>
        <w:spacing w:after="160" w:line="276"/>
      </w:pPr>
      <w:r>
        <w:rPr>
          <w:b/>
          <w:bCs/>
          <w:color w:val="1F2937"/>
          <w:sz w:val="22"/>
          <w:szCs w:val="22"/>
        </w:rPr>
        <w:t xml:space="preserve">Een panel is te aardig en daagt niet uit. </w:t>
      </w:r>
      <w:r>
        <w:rPr>
          <w:color w:val="1F2937"/>
          <w:sz w:val="22"/>
          <w:szCs w:val="22"/>
        </w:rPr>
        <w:t xml:space="preserve">Komt voor, vooral in ronde 1 bij groepen die elkaar goed kennen. Interveniëer met een concrete vraag die u zelf inbrengt uit de zeven categorieën, bij voorkeur de terugblik- of de integriteitsvraag — die zijn het lastigst te ontwijken met een te vriendelijk antwoord.</w:t>
      </w:r>
    </w:p>
    <w:p>
      <w:pPr>
        <w:spacing w:after="160" w:line="276"/>
      </w:pPr>
      <w:r>
        <w:rPr>
          <w:b/>
          <w:bCs/>
          <w:color w:val="1F2937"/>
          <w:sz w:val="22"/>
          <w:szCs w:val="22"/>
        </w:rPr>
        <w:t xml:space="preserve">Een panel is te hard en ondermijnt het vertrouwen. </w:t>
      </w:r>
      <w:r>
        <w:rPr>
          <w:color w:val="1F2937"/>
          <w:sz w:val="22"/>
          <w:szCs w:val="22"/>
        </w:rPr>
        <w:t xml:space="preserve">Minder vaak, en het risico is groter bij competitieve groepen. Grijp in met de terugkoppelingsregel: één sterk punt eerst, dan één punt dat scherper kon — in die volgorde, niet omgekeerd.</w:t>
      </w:r>
    </w:p>
    <w:p>
      <w:pPr>
        <w:spacing w:after="160" w:line="276"/>
      </w:pPr>
      <w:r>
        <w:rPr>
          <w:b/>
          <w:bCs/>
          <w:color w:val="1F2937"/>
          <w:sz w:val="22"/>
          <w:szCs w:val="22"/>
        </w:rPr>
        <w:t xml:space="preserve">Een deelnemer wil zijn opdracht niet met de groep delen </w:t>
      </w:r>
      <w:r>
        <w:rPr>
          <w:color w:val="1F2937"/>
          <w:sz w:val="22"/>
          <w:szCs w:val="22"/>
        </w:rPr>
        <w:t xml:space="preserve">vanwege vertrouwelijkheid die niet volledig is opgelost sinds deel 22. Respecteer dat, en laat hem een geanonimiseerde of ingekorte versie presenteren voor de simulatie — de vaardigheden die worden geoefend, zijn hetzelfde, ook als de inhoud beperkter wordt gedeeld.</w:t>
      </w:r>
    </w:p>
    <w:p>
      <w:pPr>
        <w:spacing w:after="160" w:line="276"/>
      </w:pPr>
      <w:r>
        <w:rPr>
          <w:b/>
          <w:bCs/>
          <w:color w:val="1F2937"/>
          <w:sz w:val="22"/>
          <w:szCs w:val="22"/>
        </w:rPr>
        <w:t xml:space="preserve">De groep vraagt naar uw eigen ervaring met het echte interview. </w:t>
      </w:r>
      <w:r>
        <w:rPr>
          <w:color w:val="1F2937"/>
          <w:sz w:val="22"/>
          <w:szCs w:val="22"/>
        </w:rPr>
        <w:t xml:space="preserve">Als u die hebt, deel haar kort en eerlijk, inclusief wat er destijds moeilijk was. Als u die niet hebt, zeg dat gewoon — het ondermijnt uw gezag niet, want de vaardigheden die dit deel oefent zijn onafhankelijk van of u zelf ooit dat specifieke interview hebt gedaan.</w:t>
      </w:r>
    </w:p>
    <w:p>
      <w:pPr>
        <w:pStyle w:val="Heading1"/>
        <w:pBdr>
          <w:bottom w:val="single" w:color="E5E7EB" w:sz="6" w:space="6"/>
        </w:pBdr>
        <w:spacing w:after="180" w:before="380"/>
      </w:pPr>
      <w:r>
        <w:rPr>
          <w:b/>
          <w:bCs/>
          <w:color w:val="1F3A5F"/>
          <w:sz w:val="30"/>
          <w:szCs w:val="30"/>
        </w:rPr>
        <w:t xml:space="preserve">5. Signalen om mee te nemen naar het vervolg</w:t>
      </w:r>
    </w:p>
    <w:p>
      <w:pPr>
        <w:spacing w:after="160" w:line="276"/>
      </w:pPr>
      <w:r>
        <w:rPr>
          <w:color w:val="1F2937"/>
          <w:sz w:val="22"/>
          <w:szCs w:val="22"/>
        </w:rPr>
        <w:t xml:space="preserve">Dit is het laatste deel, dus deze signalen zijn niet voor een volgend deel maar voor het gesprek dat u eventueel na afloop met individuele deelnemers voert:</w:t>
      </w:r>
    </w:p>
    <w:p>
      <w:pPr>
        <w:pStyle w:val="ListParagraph"/>
        <w:numPr>
          <w:ilvl w:val="0"/>
          <w:numId w:val="3"/>
        </w:numPr>
        <w:spacing w:after="120"/>
      </w:pPr>
      <w:r>
        <w:rPr>
          <w:b/>
          <w:bCs/>
          <w:color w:val="1F2937"/>
          <w:sz w:val="22"/>
          <w:szCs w:val="22"/>
        </w:rPr>
        <w:t xml:space="preserve">Wie kon bij opdracht 28.7 geen concreet actiepunt formuleren?</w:t>
      </w:r>
      <w:r>
        <w:rPr>
          <w:color w:val="1F2937"/>
          <w:sz w:val="22"/>
          <w:szCs w:val="22"/>
        </w:rPr>
        <w:t xml:space="preserve"> Heeft de zelfbeoordeling oppervlakkig gedaan; bied een kort individueel gesprek aan.</w:t>
      </w:r>
    </w:p>
    <w:p>
      <w:pPr>
        <w:pStyle w:val="ListParagraph"/>
        <w:numPr>
          <w:ilvl w:val="0"/>
          <w:numId w:val="3"/>
        </w:numPr>
        <w:spacing w:after="120"/>
      </w:pPr>
      <w:r>
        <w:rPr>
          <w:b/>
          <w:bCs/>
          <w:color w:val="1F2937"/>
          <w:sz w:val="22"/>
          <w:szCs w:val="22"/>
        </w:rPr>
        <w:t xml:space="preserve">Wie worstelde zichtbaar met de integriteitsvraag in beide rondes?</w:t>
      </w:r>
      <w:r>
        <w:rPr>
          <w:color w:val="1F2937"/>
          <w:sz w:val="22"/>
          <w:szCs w:val="22"/>
        </w:rPr>
        <w:t xml:space="preserve"> De systeemkeuze uit deel 22 was waarschijnlijk niet optimaal; bespreek of een andere opdracht voor het echte traject overwogen moet worden.</w:t>
      </w:r>
    </w:p>
    <w:p>
      <w:pPr>
        <w:pStyle w:val="ListParagraph"/>
        <w:numPr>
          <w:ilvl w:val="0"/>
          <w:numId w:val="3"/>
        </w:numPr>
        <w:spacing w:after="120"/>
      </w:pPr>
      <w:r>
        <w:rPr>
          <w:b/>
          <w:bCs/>
          <w:color w:val="1F2937"/>
          <w:sz w:val="22"/>
          <w:szCs w:val="22"/>
        </w:rPr>
        <w:t xml:space="preserve">Wie kon de drie patronen uit paragraaf 28.7 niet met concrete vindplaatsen onderbouwen?</w:t>
      </w:r>
      <w:r>
        <w:rPr>
          <w:color w:val="1F2937"/>
          <w:sz w:val="22"/>
          <w:szCs w:val="22"/>
        </w:rPr>
        <w:t xml:space="preserve"> Heeft de cursus mogelijk als losse technieken ervaren in plaats van als samenhangend geheel — waardevolle terugkoppeling voor uzelf als docent, ook voor toekomstige groepen.</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4"/>
        </w:numPr>
        <w:spacing w:after="100"/>
      </w:pPr>
      <w:r>
        <w:rPr>
          <w:color w:val="1F2937"/>
          <w:sz w:val="22"/>
          <w:szCs w:val="22"/>
        </w:rPr>
        <w:t xml:space="preserve">Slidedeck deel 28 (beide dagdelen)</w:t>
      </w:r>
    </w:p>
    <w:p>
      <w:pPr>
        <w:pStyle w:val="ListParagraph"/>
        <w:numPr>
          <w:ilvl w:val="0"/>
          <w:numId w:val="4"/>
        </w:numPr>
        <w:spacing w:after="100"/>
      </w:pPr>
      <w:r>
        <w:rPr>
          <w:color w:val="1F2937"/>
          <w:sz w:val="22"/>
          <w:szCs w:val="22"/>
        </w:rPr>
        <w:t xml:space="preserve">Reader en werkboek, per deelnemer</w:t>
      </w:r>
    </w:p>
    <w:p>
      <w:pPr>
        <w:pStyle w:val="ListParagraph"/>
        <w:numPr>
          <w:ilvl w:val="0"/>
          <w:numId w:val="4"/>
        </w:numPr>
        <w:spacing w:after="100"/>
      </w:pPr>
      <w:r>
        <w:rPr>
          <w:b/>
          <w:bCs/>
          <w:color w:val="1F2937"/>
          <w:sz w:val="22"/>
          <w:szCs w:val="22"/>
        </w:rPr>
        <w:t xml:space="preserve">Bijlage DA en DB: voorbeeldtranscripten (geslaagd en gestrand)</w:t>
      </w:r>
      <w:r>
        <w:rPr>
          <w:color w:val="1F2937"/>
          <w:sz w:val="22"/>
          <w:szCs w:val="22"/>
        </w:rPr>
        <w:t xml:space="preserve"> — het belangrijkste voorbereidende materiaal</w:t>
      </w:r>
    </w:p>
    <w:p>
      <w:pPr>
        <w:pStyle w:val="ListParagraph"/>
        <w:numPr>
          <w:ilvl w:val="0"/>
          <w:numId w:val="4"/>
        </w:numPr>
        <w:spacing w:after="100"/>
      </w:pPr>
      <w:r>
        <w:rPr>
          <w:color w:val="1F2937"/>
          <w:sz w:val="22"/>
          <w:szCs w:val="22"/>
        </w:rPr>
        <w:t xml:space="preserve">Bijlage DC: checklistformulier, bij voorkeur vooraf per e-mail verspreid</w:t>
      </w:r>
    </w:p>
    <w:p>
      <w:pPr>
        <w:pStyle w:val="ListParagraph"/>
        <w:numPr>
          <w:ilvl w:val="0"/>
          <w:numId w:val="4"/>
        </w:numPr>
        <w:spacing w:after="100"/>
      </w:pPr>
      <w:r>
        <w:rPr>
          <w:b/>
          <w:bCs/>
          <w:color w:val="1F2937"/>
          <w:sz w:val="22"/>
          <w:szCs w:val="22"/>
        </w:rPr>
        <w:t xml:space="preserve">Bijlage DD: examinatorprofielen</w:t>
      </w:r>
      <w:r>
        <w:rPr>
          <w:color w:val="1F2937"/>
          <w:sz w:val="22"/>
          <w:szCs w:val="22"/>
        </w:rPr>
        <w:t xml:space="preserve"> — verdeel ze bewust zodat elk panel beide invalshoeken dekt</w:t>
      </w:r>
    </w:p>
    <w:p>
      <w:pPr>
        <w:pStyle w:val="ListParagraph"/>
        <w:numPr>
          <w:ilvl w:val="0"/>
          <w:numId w:val="4"/>
        </w:numPr>
        <w:spacing w:after="100"/>
      </w:pPr>
      <w:r>
        <w:rPr>
          <w:color w:val="1F2937"/>
          <w:sz w:val="22"/>
          <w:szCs w:val="22"/>
        </w:rPr>
        <w:t xml:space="preserve">Bijlage DE: beoordelingsformulieren, voldoende exemplaren voor twee volledige rondes per deelnemer</w:t>
      </w:r>
    </w:p>
    <w:p>
      <w:pPr>
        <w:pStyle w:val="ListParagraph"/>
        <w:numPr>
          <w:ilvl w:val="0"/>
          <w:numId w:val="4"/>
        </w:numPr>
        <w:spacing w:after="100"/>
      </w:pPr>
      <w:r>
        <w:rPr>
          <w:color w:val="1F2937"/>
          <w:sz w:val="22"/>
          <w:szCs w:val="22"/>
        </w:rPr>
        <w:t xml:space="preserve">Voldoende ruimtes voor parallelle rollenspelgroepen — plan dit ruim vooraf bij grotere groepen</w:t>
      </w:r>
    </w:p>
    <w:p>
      <w:pPr>
        <w:pStyle w:val="ListParagraph"/>
        <w:numPr>
          <w:ilvl w:val="0"/>
          <w:numId w:val="4"/>
        </w:numPr>
        <w:spacing w:after="100"/>
      </w:pPr>
      <w:r>
        <w:rPr>
          <w:color w:val="1F2937"/>
          <w:sz w:val="22"/>
          <w:szCs w:val="22"/>
        </w:rPr>
        <w:t xml:space="preserve">Een klok of timer die voor alle groepen zichtbaar is, voor de strikte tijdsbewaking per ronde</w:t>
      </w:r>
    </w:p>
    <w:p>
      <w:pPr>
        <w:pStyle w:val="Heading1"/>
        <w:pBdr>
          <w:bottom w:val="single" w:color="E5E7EB" w:sz="6" w:space="6"/>
        </w:pBdr>
        <w:spacing w:after="180" w:before="380"/>
      </w:pPr>
      <w:r>
        <w:rPr>
          <w:b/>
          <w:bCs/>
          <w:color w:val="1F3A5F"/>
          <w:sz w:val="30"/>
          <w:szCs w:val="30"/>
        </w:rPr>
        <w:t xml:space="preserve">7. Tot slot — voor de docent</w:t>
      </w:r>
    </w:p>
    <w:p>
      <w:pPr>
        <w:spacing w:after="160" w:line="276"/>
      </w:pPr>
      <w:r>
        <w:rPr>
          <w:color w:val="1F2937"/>
          <w:sz w:val="22"/>
          <w:szCs w:val="22"/>
        </w:rPr>
        <w:t xml:space="preserve">Dit is het laatste deel van een cursus van acht-en-twintig delen die samen een volledig traject vormen: van een mislukt programma in niveau 1, via de bouw ervan in niveau 2, naar de zwaarste bestuurlijke en menselijke situaties in niveau 3.</w:t>
      </w:r>
    </w:p>
    <w:p>
      <w:pPr>
        <w:spacing w:after="160" w:line="276"/>
      </w:pPr>
      <w:r>
        <w:rPr>
          <w:b/>
          <w:bCs/>
          <w:i w:val="false"/>
          <w:iCs w:val="false"/>
          <w:color w:val="1F2937"/>
          <w:sz w:val="22"/>
          <w:szCs w:val="22"/>
        </w:rPr>
        <w:t xml:space="preserve">Wat u als docent hebt begeleid, is niet alleen kennisoverdracht.</w:t>
      </w:r>
      <w:r>
        <w:rPr>
          <w:b w:val="false"/>
          <w:bCs w:val="false"/>
          <w:i w:val="false"/>
          <w:iCs w:val="false"/>
          <w:color w:val="1F2937"/>
          <w:sz w:val="22"/>
          <w:szCs w:val="22"/>
        </w:rPr>
        <w:t xml:space="preserve"> Het is, bij de deelnemers die het traject volledig doorliepen, een verschuiving in hoe zij naar hun eigen werk kijken — van “wat is de juiste technische oplossing” naar “welke vraag heb ik nog niet gesteld, en wie gaat over het antwoord”.</w:t>
      </w:r>
    </w:p>
    <w:p>
      <w:pPr>
        <w:spacing w:after="160" w:line="276"/>
      </w:pPr>
      <w:r>
        <w:rPr>
          <w:color w:val="1F2937"/>
          <w:sz w:val="22"/>
          <w:szCs w:val="22"/>
        </w:rPr>
        <w:t xml:space="preserve">Als er één ding is dat u zelf meeneemt naar de volgende keer dat u deze cursus geeft, laat het de constatering zijn uit paragraaf 28.7: de kern van deze hele reeks stond er in de eerste tien delen al. De rest was uitwerking, beproeving, en — in niveau 3 — het testen van die kern onder omstandigheden waarin het er echt toe deed.</w:t>
      </w:r>
    </w:p>
    <w:p>
      <w:pPr>
        <w:pBdr>
          <w:top w:val="single" w:color="E5E7EB" w:sz="4" w:space="8"/>
        </w:pBdr>
        <w:spacing w:before="400"/>
        <w:jc w:val="center"/>
      </w:pPr>
      <w:r>
        <w:rPr>
          <w:i/>
          <w:iCs/>
          <w:color w:val="6B7280"/>
          <w:sz w:val="17"/>
          <w:szCs w:val="17"/>
        </w:rPr>
        <w:t xml:space="preserve">Ductus B.V. · Cursus Softwarearchitectuur · Niveau 3, deel 28 · Docentenhandleiding · Einde van de cursus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2026-08-17T19:56:31.801Z</dcterms:created>
  <dcterms:modified xsi:type="dcterms:W3CDTF">2026-08-17T19:56:31.802Z</dcterms:modified>
</cp:coreProperties>
</file>

<file path=docProps/custom.xml><?xml version="1.0" encoding="utf-8"?>
<Properties xmlns="http://schemas.openxmlformats.org/officeDocument/2006/custom-properties" xmlns:vt="http://schemas.openxmlformats.org/officeDocument/2006/docPropsVTypes"/>
</file>