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28 — De masterproef: simulatie van het examinatoreninterview</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3 (CPSA-A certificeringstraject) · Deel 28 van 28 · twee dagdelen · sluitstuk van de hele cursus</w:t>
      </w:r>
    </w:p>
    <w:p>
      <w:pPr>
        <w:pStyle w:val="Heading2"/>
        <w:spacing w:after="140" w:before="260"/>
      </w:pPr>
      <w:r>
        <w:rPr>
          <w:b/>
          <w:bCs/>
          <w:color w:val="4A6789"/>
          <w:sz w:val="24"/>
          <w:szCs w:val="24"/>
        </w:rPr>
        <w:t xml:space="preserve">Positionering</w:t>
      </w:r>
    </w:p>
    <w:p>
      <w:pPr>
        <w:spacing w:after="160" w:line="276"/>
      </w:pPr>
      <w:r>
        <w:rPr>
          <w:i/>
          <w:iCs/>
          <w:color w:val="1F2937"/>
          <w:sz w:val="21"/>
          <w:szCs w:val="21"/>
        </w:rPr>
        <w:t xml:space="preserve">Dit is het laatste deel van de hele cursusreeks: tien delen Foundation, elf delen Advanced-voorbereiding, zeven delen certificeringstraject. Deze cursus is geen geaccrediteerde training en levert geen credit points; de simulatie hier vervangt het echte examinatoreninterview niet en garandeert geen uitslag. Raadpleeg isaqb.org voor de actuele vorm, criteria en procedure van het echte interview — die kunnen wijzigen, en wat hier staat is gebaseerd op de vorm zoals die bij het samenstellen van deze cursus gangbaar was.</w:t>
      </w:r>
    </w:p>
    <w:p>
      <w:pPr>
        <w:spacing w:after="160"/>
      </w:pPr>
    </w:p>
    <w:p>
      <w:pPr>
        <w:spacing w:after="160" w:line="276"/>
      </w:pPr>
      <w:r>
        <w:rPr>
          <w:b/>
          <w:bCs/>
          <w:i/>
          <w:iCs/>
          <w:color w:val="1F2937"/>
          <w:sz w:val="21"/>
          <w:szCs w:val="21"/>
        </w:rPr>
        <w:t xml:space="preserve">Eén spoor, samengevoegd. </w:t>
      </w:r>
      <w:r>
        <w:rPr>
          <w:i/>
          <w:iCs/>
          <w:color w:val="1F2937"/>
          <w:sz w:val="21"/>
          <w:szCs w:val="21"/>
        </w:rPr>
        <w:t xml:space="preserve">Sinds deel 22 liepen het casusspoor en uw eigen spoor naast elkaar. Vandaag komen zij samen: u verdedigt niet Meridiaan maar uw eigen certificeringsopdracht, tegenover een panel dat de rol van examinatoren speelt.</w:t>
      </w:r>
    </w:p>
    <w:p>
      <w:pPr>
        <w:spacing w:after="300"/>
      </w:pPr>
    </w:p>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de vorm en het doel van het examinatoreninterview beschrijven;</w:t>
      </w:r>
    </w:p>
    <w:p>
      <w:pPr>
        <w:pStyle w:val="ListParagraph"/>
        <w:numPr>
          <w:ilvl w:val="0"/>
          <w:numId w:val="2"/>
        </w:numPr>
        <w:spacing w:after="120"/>
      </w:pPr>
      <w:r>
        <w:rPr>
          <w:color w:val="1F2937"/>
          <w:sz w:val="22"/>
          <w:szCs w:val="22"/>
        </w:rPr>
        <w:t xml:space="preserve">uw certificeringsopdracht presenteren binnen een strak tijdsbestek, gericht op wat de examinatoren nodig hebben;</w:t>
      </w:r>
    </w:p>
    <w:p>
      <w:pPr>
        <w:pStyle w:val="ListParagraph"/>
        <w:numPr>
          <w:ilvl w:val="0"/>
          <w:numId w:val="2"/>
        </w:numPr>
        <w:spacing w:after="120"/>
      </w:pPr>
      <w:r>
        <w:rPr>
          <w:color w:val="1F2937"/>
          <w:sz w:val="22"/>
          <w:szCs w:val="22"/>
        </w:rPr>
        <w:t xml:space="preserve">de veelvoorkomende vraagtypen herkennen en er raak op reageren;</w:t>
      </w:r>
    </w:p>
    <w:p>
      <w:pPr>
        <w:pStyle w:val="ListParagraph"/>
        <w:numPr>
          <w:ilvl w:val="0"/>
          <w:numId w:val="2"/>
        </w:numPr>
        <w:spacing w:after="120"/>
      </w:pPr>
      <w:r>
        <w:rPr>
          <w:color w:val="1F2937"/>
          <w:sz w:val="22"/>
          <w:szCs w:val="22"/>
        </w:rPr>
        <w:t xml:space="preserve">omgaan met kritische doorvraag zonder toe te geven of dicht te slaan;</w:t>
      </w:r>
    </w:p>
    <w:p>
      <w:pPr>
        <w:pStyle w:val="ListParagraph"/>
        <w:numPr>
          <w:ilvl w:val="0"/>
          <w:numId w:val="2"/>
        </w:numPr>
        <w:spacing w:after="120"/>
      </w:pPr>
      <w:r>
        <w:rPr>
          <w:color w:val="1F2937"/>
          <w:sz w:val="22"/>
          <w:szCs w:val="22"/>
        </w:rPr>
        <w:t xml:space="preserve">uw eigen opdracht en de hele cursusreeks overzien: welke vaardigheden u hebt opgebouwd en hoe zij samenhangen;</w:t>
      </w:r>
    </w:p>
    <w:p>
      <w:pPr>
        <w:pStyle w:val="ListParagraph"/>
        <w:numPr>
          <w:ilvl w:val="0"/>
          <w:numId w:val="2"/>
        </w:numPr>
        <w:spacing w:after="120"/>
      </w:pPr>
      <w:r>
        <w:rPr>
          <w:color w:val="1F2937"/>
          <w:sz w:val="22"/>
          <w:szCs w:val="22"/>
        </w:rPr>
        <w:t xml:space="preserve">na dit deel zelfstandig verder werken aan het echte traject, met een concreet vervolgplan.</w:t>
      </w:r>
    </w:p>
    <w:p>
      <w:pPr>
        <w:pStyle w:val="Heading1"/>
        <w:pBdr>
          <w:bottom w:val="single" w:color="E5E7EB" w:sz="6" w:space="6"/>
        </w:pBdr>
        <w:spacing w:after="180" w:before="380"/>
      </w:pPr>
      <w:r>
        <w:rPr>
          <w:b/>
          <w:bCs/>
          <w:color w:val="1F3A5F"/>
          <w:sz w:val="30"/>
          <w:szCs w:val="30"/>
        </w:rPr>
        <w:t xml:space="preserve">Dagdeel A — Voorbereiding en eerste ronde</w:t>
      </w:r>
    </w:p>
    <w:p>
      <w:pPr>
        <w:pStyle w:val="Heading1"/>
        <w:pBdr>
          <w:bottom w:val="single" w:color="E5E7EB" w:sz="6" w:space="6"/>
        </w:pBdr>
        <w:spacing w:after="180" w:before="380"/>
      </w:pPr>
      <w:r>
        <w:rPr>
          <w:b/>
          <w:bCs/>
          <w:color w:val="1F3A5F"/>
          <w:sz w:val="30"/>
          <w:szCs w:val="30"/>
        </w:rPr>
        <w:t xml:space="preserve">28.1 Wat het interview beoogt</w:t>
      </w:r>
    </w:p>
    <w:p>
      <w:pPr>
        <w:spacing w:after="160" w:line="276"/>
      </w:pPr>
      <w:r>
        <w:rPr>
          <w:b w:val="false"/>
          <w:bCs w:val="false"/>
          <w:i w:val="false"/>
          <w:iCs w:val="false"/>
          <w:color w:val="1F2937"/>
          <w:sz w:val="22"/>
          <w:szCs w:val="22"/>
        </w:rPr>
        <w:t xml:space="preserve">Het examinatoreninterview toetst niet uw opdracht op zichzelf — die is al ingediend en gelezen. Het toetst </w:t>
      </w:r>
      <w:r>
        <w:rPr>
          <w:b/>
          <w:bCs/>
          <w:i w:val="false"/>
          <w:iCs w:val="false"/>
          <w:color w:val="1F2937"/>
          <w:sz w:val="22"/>
          <w:szCs w:val="22"/>
        </w:rPr>
        <w:t xml:space="preserve">of u de opdracht bent, of de opdracht alleen hebt geschreven.</w:t>
      </w:r>
    </w:p>
    <w:p>
      <w:pPr>
        <w:spacing w:after="160" w:line="276"/>
      </w:pPr>
      <w:r>
        <w:rPr>
          <w:color w:val="1F2937"/>
          <w:sz w:val="22"/>
          <w:szCs w:val="22"/>
        </w:rPr>
        <w:t xml:space="preserve">Dat onderscheid is scherper dan het klinkt. Een goed geschreven opdracht kan het werk zijn van iemand die de gebeurtenissen heeft gereconstrueerd zonder de afwegingen zelf te hebben doorleefd, of die de tekst heeft laten meelezen tot elke ruwe kant is weggeschaafd. Het interview is er om vast te stellen of er onder de tekst een architect zit die op elk moment kan uitleggen waarom.</w:t>
      </w:r>
    </w:p>
    <w:p>
      <w:pPr>
        <w:spacing w:after="160" w:line="276"/>
      </w:pPr>
      <w:r>
        <w:rPr>
          <w:b/>
          <w:bCs/>
          <w:i w:val="false"/>
          <w:iCs w:val="false"/>
          <w:color w:val="1F2937"/>
          <w:sz w:val="22"/>
          <w:szCs w:val="22"/>
        </w:rPr>
        <w:t xml:space="preserve">Wat de examinatoren zoeken, komt overeen met wat u de hele cursus hebt geoefend:</w:t>
      </w:r>
    </w:p>
    <w:p>
      <w:pPr>
        <w:pStyle w:val="ListParagraph"/>
        <w:numPr>
          <w:ilvl w:val="0"/>
          <w:numId w:val="3"/>
        </w:numPr>
        <w:spacing w:after="100"/>
      </w:pPr>
      <w:r>
        <w:rPr>
          <w:color w:val="1F2937"/>
          <w:sz w:val="22"/>
          <w:szCs w:val="22"/>
        </w:rPr>
        <w:t xml:space="preserve">Kunt u een beslissing herleiden tot een drijver of randvoorwaarde, niet tot een methodenaam? (deel 2, 4, 5, 22)</w:t>
      </w:r>
    </w:p>
    <w:p>
      <w:pPr>
        <w:pStyle w:val="ListParagraph"/>
        <w:numPr>
          <w:ilvl w:val="0"/>
          <w:numId w:val="3"/>
        </w:numPr>
        <w:spacing w:after="100"/>
      </w:pPr>
      <w:r>
        <w:rPr>
          <w:color w:val="1F2937"/>
          <w:sz w:val="22"/>
          <w:szCs w:val="22"/>
        </w:rPr>
        <w:t xml:space="preserve">Kunt u de prijs van een keuze benoemen, en wie hem draagt? (deel 6, 10, 19, 21)</w:t>
      </w:r>
    </w:p>
    <w:p>
      <w:pPr>
        <w:pStyle w:val="ListParagraph"/>
        <w:numPr>
          <w:ilvl w:val="0"/>
          <w:numId w:val="3"/>
        </w:numPr>
        <w:spacing w:after="100"/>
      </w:pPr>
      <w:r>
        <w:rPr>
          <w:color w:val="1F2937"/>
          <w:sz w:val="22"/>
          <w:szCs w:val="22"/>
        </w:rPr>
        <w:t xml:space="preserve">Kunt u onderscheid maken tussen wat aan u was en wat niet? (deel 14, 15, 16, 20, 25, 26, 27)</w:t>
      </w:r>
    </w:p>
    <w:p>
      <w:pPr>
        <w:pStyle w:val="ListParagraph"/>
        <w:numPr>
          <w:ilvl w:val="0"/>
          <w:numId w:val="3"/>
        </w:numPr>
        <w:spacing w:after="100"/>
      </w:pPr>
      <w:r>
        <w:rPr>
          <w:color w:val="1F2937"/>
          <w:sz w:val="22"/>
          <w:szCs w:val="22"/>
        </w:rPr>
        <w:t xml:space="preserve">Verandert u van standpunt bij een goed argument, zonder om te vallen bij elk argument? (deel 20, 25)</w:t>
      </w:r>
    </w:p>
    <w:p>
      <w:pPr>
        <w:pStyle w:val="ListParagraph"/>
        <w:numPr>
          <w:ilvl w:val="0"/>
          <w:numId w:val="3"/>
        </w:numPr>
        <w:spacing w:after="100"/>
      </w:pPr>
      <w:r>
        <w:rPr>
          <w:color w:val="1F2937"/>
          <w:sz w:val="22"/>
          <w:szCs w:val="22"/>
        </w:rPr>
        <w:t xml:space="preserve">Weet u wat u vandaag anders zou doen, en waarom u het toen niet zo deed? (deel 9, 17, 21)</w:t>
      </w:r>
    </w:p>
    <w:p>
      <w:pPr>
        <w:spacing w:after="160" w:line="276"/>
      </w:pPr>
      <w:r>
        <w:rPr>
          <w:b/>
          <w:bCs/>
          <w:i w:val="false"/>
          <w:iCs w:val="false"/>
          <w:color w:val="1F2937"/>
          <w:sz w:val="22"/>
          <w:szCs w:val="22"/>
        </w:rPr>
        <w:t xml:space="preserve">Twee examinatoren, verschillende invalshoeken. </w:t>
      </w:r>
      <w:r>
        <w:rPr>
          <w:b w:val="false"/>
          <w:bCs w:val="false"/>
          <w:i w:val="false"/>
          <w:iCs w:val="false"/>
          <w:color w:val="1F2937"/>
          <w:sz w:val="22"/>
          <w:szCs w:val="22"/>
        </w:rPr>
        <w:t xml:space="preserve">Gangbaar is dat de een dieper ingaat op de methodische en technische kant — waarom deze structuur, dit patroon, deze afweging — en de ander op de communicatieve en bestuurlijke kant — hoe hebt u dit voorgelegd, wat deed u toen het misging, hoe verantwoordde u het. </w:t>
      </w:r>
      <w:r>
        <w:rPr>
          <w:b/>
          <w:bCs/>
          <w:i w:val="false"/>
          <w:iCs w:val="false"/>
          <w:color w:val="1F2937"/>
          <w:sz w:val="22"/>
          <w:szCs w:val="22"/>
        </w:rPr>
        <w:t xml:space="preserve">Beide gebieden tellen even zwaar</w:t>
      </w:r>
      <w:r>
        <w:rPr>
          <w:b w:val="false"/>
          <w:bCs w:val="false"/>
          <w:i w:val="false"/>
          <w:iCs w:val="false"/>
          <w:color w:val="1F2937"/>
          <w:sz w:val="22"/>
          <w:szCs w:val="22"/>
        </w:rPr>
        <w:t xml:space="preserve">, en een sterke technische opdracht met een zwakke verdediging op het communicatieve deel haalt het niet.</w:t>
      </w:r>
    </w:p>
    <w:p>
      <w:pPr>
        <w:pStyle w:val="Heading1"/>
        <w:pBdr>
          <w:bottom w:val="single" w:color="E5E7EB" w:sz="6" w:space="6"/>
        </w:pBdr>
        <w:spacing w:after="180" w:before="380"/>
      </w:pPr>
      <w:r>
        <w:rPr>
          <w:b/>
          <w:bCs/>
          <w:color w:val="1F3A5F"/>
          <w:sz w:val="30"/>
          <w:szCs w:val="30"/>
        </w:rPr>
        <w:t xml:space="preserve">28.2 De presentatie: kort, en gericht op wat zij nog niet weten</w:t>
      </w:r>
    </w:p>
    <w:p>
      <w:pPr>
        <w:spacing w:after="160" w:line="276"/>
      </w:pPr>
      <w:r>
        <w:rPr>
          <w:b w:val="false"/>
          <w:bCs w:val="false"/>
          <w:i w:val="false"/>
          <w:iCs w:val="false"/>
          <w:color w:val="1F2937"/>
          <w:sz w:val="22"/>
          <w:szCs w:val="22"/>
        </w:rPr>
        <w:t xml:space="preserve">U krijgt doorgaans een kort tijdsbestek om de kern van uw opdracht te presenteren voordat de vragen beginnen — vaak niet meer dan enkele minuten. </w:t>
      </w:r>
      <w:r>
        <w:rPr>
          <w:b/>
          <w:bCs/>
          <w:i w:val="false"/>
          <w:iCs w:val="false"/>
          <w:color w:val="1F2937"/>
          <w:sz w:val="22"/>
          <w:szCs w:val="22"/>
        </w:rPr>
        <w:t xml:space="preserve">Zij hebben uw opdracht gelezen.</w:t>
      </w:r>
      <w:r>
        <w:rPr>
          <w:b w:val="false"/>
          <w:bCs w:val="false"/>
          <w:i w:val="false"/>
          <w:iCs w:val="false"/>
          <w:color w:val="1F2937"/>
          <w:sz w:val="22"/>
          <w:szCs w:val="22"/>
        </w:rPr>
        <w:t xml:space="preserve"> Een samenvatting van wat er al staat, is verspilde tijd.</w:t>
      </w:r>
    </w:p>
    <w:p>
      <w:pPr>
        <w:spacing w:after="160" w:line="276"/>
      </w:pPr>
      <w:r>
        <w:rPr>
          <w:b/>
          <w:bCs/>
          <w:i w:val="false"/>
          <w:iCs w:val="false"/>
          <w:color w:val="1F2937"/>
          <w:sz w:val="22"/>
          <w:szCs w:val="22"/>
        </w:rPr>
        <w:t xml:space="preserve">Wat wel werkt, uit de vorm van deel 19:</w:t>
      </w:r>
    </w:p>
    <w:p>
      <w:pPr>
        <w:pStyle w:val="ListParagraph"/>
        <w:numPr>
          <w:ilvl w:val="0"/>
          <w:numId w:val="3"/>
        </w:numPr>
        <w:spacing w:after="100"/>
      </w:pPr>
      <w:r>
        <w:rPr>
          <w:b/>
          <w:bCs/>
          <w:color w:val="1F2937"/>
          <w:sz w:val="22"/>
          <w:szCs w:val="22"/>
        </w:rPr>
        <w:t xml:space="preserve">Eén zin over de context</w:t>
      </w:r>
      <w:r>
        <w:rPr>
          <w:color w:val="1F2937"/>
          <w:sz w:val="22"/>
          <w:szCs w:val="22"/>
        </w:rPr>
        <w:t xml:space="preserve"> — wat voor systeem, voor wie, met welke complicatie.</w:t>
      </w:r>
    </w:p>
    <w:p>
      <w:pPr>
        <w:pStyle w:val="ListParagraph"/>
        <w:numPr>
          <w:ilvl w:val="0"/>
          <w:numId w:val="3"/>
        </w:numPr>
        <w:spacing w:after="100"/>
      </w:pPr>
      <w:r>
        <w:rPr>
          <w:b/>
          <w:bCs/>
          <w:color w:val="1F2937"/>
          <w:sz w:val="22"/>
          <w:szCs w:val="22"/>
        </w:rPr>
        <w:t xml:space="preserve">De twee of drie drijvers die alles bepaalden</w:t>
      </w:r>
      <w:r>
        <w:rPr>
          <w:color w:val="1F2937"/>
          <w:sz w:val="22"/>
          <w:szCs w:val="22"/>
        </w:rPr>
        <w:t xml:space="preserve"> — niet alle eisen, de doorslaggevende.</w:t>
      </w:r>
    </w:p>
    <w:p>
      <w:pPr>
        <w:pStyle w:val="ListParagraph"/>
        <w:numPr>
          <w:ilvl w:val="0"/>
          <w:numId w:val="3"/>
        </w:numPr>
        <w:spacing w:after="100"/>
      </w:pPr>
      <w:r>
        <w:rPr>
          <w:b/>
          <w:bCs/>
          <w:color w:val="1F2937"/>
          <w:sz w:val="22"/>
          <w:szCs w:val="22"/>
        </w:rPr>
        <w:t xml:space="preserve">De zwaarste beslissing, kort</w:t>
      </w:r>
      <w:r>
        <w:rPr>
          <w:color w:val="1F2937"/>
          <w:sz w:val="22"/>
          <w:szCs w:val="22"/>
        </w:rPr>
        <w:t xml:space="preserve"> — wat u koos, tegen welk alternatief, met welke prijs.</w:t>
      </w:r>
    </w:p>
    <w:p>
      <w:pPr>
        <w:pStyle w:val="ListParagraph"/>
        <w:numPr>
          <w:ilvl w:val="0"/>
          <w:numId w:val="3"/>
        </w:numPr>
        <w:spacing w:after="100"/>
      </w:pPr>
      <w:r>
        <w:rPr>
          <w:b/>
          <w:bCs/>
          <w:color w:val="1F2937"/>
          <w:sz w:val="22"/>
          <w:szCs w:val="22"/>
        </w:rPr>
        <w:t xml:space="preserve">Wat er misging, en wat u ervan leerde</w:t>
      </w:r>
      <w:r>
        <w:rPr>
          <w:color w:val="1F2937"/>
          <w:sz w:val="22"/>
          <w:szCs w:val="22"/>
        </w:rPr>
        <w:t xml:space="preserve"> — dit is waar u hun aandacht wint, want dit staat zelden voluit in geschreven opdrachten.</w:t>
      </w:r>
    </w:p>
    <w:p>
      <w:pPr>
        <w:spacing w:after="160" w:line="276"/>
      </w:pPr>
      <w:r>
        <w:rPr>
          <w:b/>
          <w:bCs/>
          <w:i w:val="false"/>
          <w:iCs w:val="false"/>
          <w:color w:val="1F2937"/>
          <w:sz w:val="22"/>
          <w:szCs w:val="22"/>
        </w:rPr>
        <w:t xml:space="preserve">Wat u niet doet:</w:t>
      </w:r>
      <w:r>
        <w:rPr>
          <w:b w:val="false"/>
          <w:bCs w:val="false"/>
          <w:i w:val="false"/>
          <w:iCs w:val="false"/>
          <w:color w:val="1F2937"/>
          <w:sz w:val="22"/>
          <w:szCs w:val="22"/>
        </w:rPr>
        <w:t xml:space="preserve"> de opdracht chronologisch navertellen, elke technische term uitleggen alsof zij novices zijn, of de tijd gebruiken om nog een keer te bewijzen hoe goed het systeem is. </w:t>
      </w:r>
      <w:r>
        <w:rPr>
          <w:b/>
          <w:bCs/>
          <w:i w:val="false"/>
          <w:iCs w:val="false"/>
          <w:color w:val="1F2937"/>
          <w:sz w:val="22"/>
          <w:szCs w:val="22"/>
        </w:rPr>
        <w:t xml:space="preserve">Zij zijn niet op zoek naar bewondering voor uw systeem. Zij zijn op zoek naar u als architect.</w:t>
      </w:r>
    </w:p>
    <w:p>
      <w:pPr>
        <w:pStyle w:val="Heading1"/>
        <w:pBdr>
          <w:bottom w:val="single" w:color="E5E7EB" w:sz="6" w:space="6"/>
        </w:pBdr>
        <w:spacing w:after="180" w:before="380"/>
      </w:pPr>
      <w:r>
        <w:rPr>
          <w:b/>
          <w:bCs/>
          <w:color w:val="1F3A5F"/>
          <w:sz w:val="30"/>
          <w:szCs w:val="30"/>
        </w:rPr>
        <w:t xml:space="preserve">28.3 Vraagtypen die u kunt verwachten</w:t>
      </w:r>
    </w:p>
    <w:p>
      <w:pPr>
        <w:spacing w:after="160" w:line="276"/>
      </w:pPr>
      <w:r>
        <w:rPr>
          <w:color w:val="1F2937"/>
          <w:sz w:val="22"/>
          <w:szCs w:val="22"/>
        </w:rPr>
        <w:t xml:space="preserve">Zeven categorieën, elk geoefend in eerdere delen van deze cursus. Herken de familie, en het antwoord ligt dichterbij dan het voelt.</w:t>
      </w:r>
    </w:p>
    <w:p>
      <w:pPr>
        <w:spacing w:after="160" w:line="276"/>
      </w:pPr>
      <w:r>
        <w:rPr>
          <w:b/>
          <w:bCs/>
          <w:i w:val="false"/>
          <w:iCs w:val="false"/>
          <w:color w:val="1F2937"/>
          <w:sz w:val="22"/>
          <w:szCs w:val="22"/>
        </w:rPr>
        <w:t xml:space="preserve">1. “Waarom deze keuze en niet die?”</w:t>
      </w:r>
      <w:r>
        <w:rPr>
          <w:b w:val="false"/>
          <w:bCs w:val="false"/>
          <w:i w:val="false"/>
          <w:iCs w:val="false"/>
          <w:color w:val="1F2937"/>
          <w:sz w:val="22"/>
          <w:szCs w:val="22"/>
        </w:rPr>
        <w:t xml:space="preserve"> — de alternatievenvraag. Uit deel 22: u hebt dit voorbereid door bij minstens vijf beslissingen een serieus alternatief te kunnen noemen. Antwoord met de grond, niet met de uitkomst: niet “omdat het beter werkte” maar “omdat drijver X zwaarder woog dan drijver Y, en dat alternatief had drijver Y beter gediend.”</w:t>
      </w:r>
    </w:p>
    <w:p>
      <w:pPr>
        <w:spacing w:after="160" w:line="276"/>
      </w:pPr>
      <w:r>
        <w:rPr>
          <w:b/>
          <w:bCs/>
          <w:i w:val="false"/>
          <w:iCs w:val="false"/>
          <w:color w:val="1F2937"/>
          <w:sz w:val="22"/>
          <w:szCs w:val="22"/>
        </w:rPr>
        <w:t xml:space="preserve">2. “Wat kostte dat, en wie merkte het?”</w:t>
      </w:r>
      <w:r>
        <w:rPr>
          <w:b w:val="false"/>
          <w:bCs w:val="false"/>
          <w:i w:val="false"/>
          <w:iCs w:val="false"/>
          <w:color w:val="1F2937"/>
          <w:sz w:val="22"/>
          <w:szCs w:val="22"/>
        </w:rPr>
        <w:t xml:space="preserve"> — de prijsvraag. Uit deel 6, 10, 19: benoem de prijs in niet-technische termen, bij de partij die hem daadwerkelijk draagt. Een antwoord dat alleen “meer complexiteit” noemt, is onvoldoende; “de mutatiebehandelaar zag haar collega het dossier nog niet openen” is dat wel.</w:t>
      </w:r>
    </w:p>
    <w:p>
      <w:pPr>
        <w:spacing w:after="160" w:line="276"/>
      </w:pPr>
      <w:r>
        <w:rPr>
          <w:b/>
          <w:bCs/>
          <w:i w:val="false"/>
          <w:iCs w:val="false"/>
          <w:color w:val="1F2937"/>
          <w:sz w:val="22"/>
          <w:szCs w:val="22"/>
        </w:rPr>
        <w:t xml:space="preserve">3. “Wie besliste dit, en was dat aan u?”</w:t>
      </w:r>
      <w:r>
        <w:rPr>
          <w:b w:val="false"/>
          <w:bCs w:val="false"/>
          <w:i w:val="false"/>
          <w:iCs w:val="false"/>
          <w:color w:val="1F2937"/>
          <w:sz w:val="22"/>
          <w:szCs w:val="22"/>
        </w:rPr>
        <w:t xml:space="preserve"> — de rolgrensvraag. Uit deel 14 tot en met 27: onderscheid wat volledig aan u was van wat u adviseerde en een ander besliste. Een architect die alles naar zich toetrekt, wekt wantrouwen; een architect die niets naar zich toetrekt, ook.</w:t>
      </w:r>
    </w:p>
    <w:p>
      <w:pPr>
        <w:spacing w:after="160" w:line="276"/>
      </w:pPr>
      <w:r>
        <w:rPr>
          <w:b/>
          <w:bCs/>
          <w:i w:val="false"/>
          <w:iCs w:val="false"/>
          <w:color w:val="1F2937"/>
          <w:sz w:val="22"/>
          <w:szCs w:val="22"/>
        </w:rPr>
        <w:t xml:space="preserve">4. “Wat zou u nu anders doen?”</w:t>
      </w:r>
      <w:r>
        <w:rPr>
          <w:b w:val="false"/>
          <w:bCs w:val="false"/>
          <w:i w:val="false"/>
          <w:iCs w:val="false"/>
          <w:color w:val="1F2937"/>
          <w:sz w:val="22"/>
          <w:szCs w:val="22"/>
        </w:rPr>
        <w:t xml:space="preserve"> — de terugblikvraag. Deze komt altijd. Uit deel 17 en 21: een eerlijk antwoord noemt een concrete beslissing en de reden dat u hem nu anders zou maken — niet een algemene wens (“we zouden het beter moeten aanpakken”) maar iets specifieks (“ik zou de aggregaatgrens rond X kleiner hebben getrokken, want Y”).</w:t>
      </w:r>
    </w:p>
    <w:p>
      <w:pPr>
        <w:spacing w:after="160" w:line="276"/>
      </w:pPr>
      <w:r>
        <w:rPr>
          <w:b/>
          <w:bCs/>
          <w:i w:val="false"/>
          <w:iCs w:val="false"/>
          <w:color w:val="1F2937"/>
          <w:sz w:val="22"/>
          <w:szCs w:val="22"/>
        </w:rPr>
        <w:t xml:space="preserve">5. “Hoe wist u dat het werkte?”</w:t>
      </w:r>
      <w:r>
        <w:rPr>
          <w:b w:val="false"/>
          <w:bCs w:val="false"/>
          <w:i w:val="false"/>
          <w:iCs w:val="false"/>
          <w:color w:val="1F2937"/>
          <w:sz w:val="22"/>
          <w:szCs w:val="22"/>
        </w:rPr>
        <w:t xml:space="preserve"> — de meetvraag. Uit deel 6, 17, 18: een antwoord zonder meting is een aanname met een mooi verhaal eromheen. Als u niet mat, zeg dat eerlijk en benoem wat u wel had kunnen meten.</w:t>
      </w:r>
    </w:p>
    <w:p>
      <w:pPr>
        <w:spacing w:after="160" w:line="276"/>
      </w:pPr>
      <w:r>
        <w:rPr>
          <w:b/>
          <w:bCs/>
          <w:i w:val="false"/>
          <w:iCs w:val="false"/>
          <w:color w:val="1F2937"/>
          <w:sz w:val="22"/>
          <w:szCs w:val="22"/>
        </w:rPr>
        <w:t xml:space="preserve">6. “Wat als [randgeval]?”</w:t>
      </w:r>
      <w:r>
        <w:rPr>
          <w:b w:val="false"/>
          <w:bCs w:val="false"/>
          <w:i w:val="false"/>
          <w:iCs w:val="false"/>
          <w:color w:val="1F2937"/>
          <w:sz w:val="22"/>
          <w:szCs w:val="22"/>
        </w:rPr>
        <w:t xml:space="preserve"> — de gevoeligheidsvraag. Uit deel 12, 17, 18, 23: dit test of u de grenzen van uw eigen ontwerp kent. U hoeft het antwoord niet paraat te hebben; u moet wel kunnen redeneren hoe u het zou vaststellen.</w:t>
      </w:r>
    </w:p>
    <w:p>
      <w:pPr>
        <w:spacing w:after="160" w:line="276"/>
      </w:pPr>
      <w:r>
        <w:rPr>
          <w:b/>
          <w:bCs/>
          <w:i w:val="false"/>
          <w:iCs w:val="false"/>
          <w:color w:val="1F2937"/>
          <w:sz w:val="22"/>
          <w:szCs w:val="22"/>
        </w:rPr>
        <w:t xml:space="preserve">7. “Vertel over een moment dat het moeilijk werd.”</w:t>
      </w:r>
      <w:r>
        <w:rPr>
          <w:b w:val="false"/>
          <w:bCs w:val="false"/>
          <w:i w:val="false"/>
          <w:iCs w:val="false"/>
          <w:color w:val="1F2937"/>
          <w:sz w:val="22"/>
          <w:szCs w:val="22"/>
        </w:rPr>
        <w:t xml:space="preserve"> — de integriteitsvraag. Uit deel 25, 26, 27: dit is waar de opdracht die u koos in deel 22 zich uitbetaalt. Als u een systeem koos zonder iets dat misging, hebt u hier geen goed antwoord — en dat is precies waarom criterium 3 uit deel 22 zo zwaar woog.</w:t>
      </w:r>
    </w:p>
    <w:p>
      <w:pPr>
        <w:pStyle w:val="Heading1"/>
        <w:pBdr>
          <w:bottom w:val="single" w:color="E5E7EB" w:sz="6" w:space="6"/>
        </w:pBdr>
        <w:spacing w:after="180" w:before="380"/>
      </w:pPr>
      <w:r>
        <w:rPr>
          <w:b/>
          <w:bCs/>
          <w:color w:val="1F3A5F"/>
          <w:sz w:val="30"/>
          <w:szCs w:val="30"/>
        </w:rPr>
        <w:t xml:space="preserve">28.4 Voorbereiden: de checklist</w:t>
      </w:r>
    </w:p>
    <w:p>
      <w:pPr>
        <w:spacing w:after="160" w:line="276"/>
      </w:pPr>
      <w:r>
        <w:rPr>
          <w:color w:val="1F2937"/>
          <w:sz w:val="22"/>
          <w:szCs w:val="22"/>
        </w:rPr>
        <w:t xml:space="preserve">Ga uw opdracht na met deze vragen, hardop, alleen of met een oefenpartner. Elke “nee” is werk voor vandaag.</w:t>
      </w:r>
    </w:p>
    <w:p>
      <w:pPr>
        <w:pStyle w:val="ListParagraph"/>
        <w:numPr>
          <w:ilvl w:val="0"/>
          <w:numId w:val="3"/>
        </w:numPr>
        <w:spacing w:after="100"/>
      </w:pPr>
      <w:r>
        <w:rPr>
          <w:color w:val="1F2937"/>
          <w:sz w:val="22"/>
          <w:szCs w:val="22"/>
        </w:rPr>
        <w:t xml:space="preserve">☐  Kan ik van minstens vijf beslissingen het serieus overwogen alternatief noemen, met de grond van afwijzing?</w:t>
      </w:r>
    </w:p>
    <w:p>
      <w:pPr>
        <w:pStyle w:val="ListParagraph"/>
        <w:numPr>
          <w:ilvl w:val="0"/>
          <w:numId w:val="3"/>
        </w:numPr>
        <w:spacing w:after="100"/>
      </w:pPr>
      <w:r>
        <w:rPr>
          <w:color w:val="1F2937"/>
          <w:sz w:val="22"/>
          <w:szCs w:val="22"/>
        </w:rPr>
        <w:t xml:space="preserve">☐  Kan ik van mijn drie zwaarste keuzes de prijs benoemen, in niet-technische termen, bij de partij die hem draagt?</w:t>
      </w:r>
    </w:p>
    <w:p>
      <w:pPr>
        <w:pStyle w:val="ListParagraph"/>
        <w:numPr>
          <w:ilvl w:val="0"/>
          <w:numId w:val="3"/>
        </w:numPr>
        <w:spacing w:after="100"/>
      </w:pPr>
      <w:r>
        <w:rPr>
          <w:color w:val="1F2937"/>
          <w:sz w:val="22"/>
          <w:szCs w:val="22"/>
        </w:rPr>
        <w:t xml:space="preserve">☐  Weet ik van elke beslissing die ik bespreek of hij volledig aan mij was, of dat ik adviseerde en een ander besliste?</w:t>
      </w:r>
    </w:p>
    <w:p>
      <w:pPr>
        <w:pStyle w:val="ListParagraph"/>
        <w:numPr>
          <w:ilvl w:val="0"/>
          <w:numId w:val="3"/>
        </w:numPr>
        <w:spacing w:after="100"/>
      </w:pPr>
      <w:r>
        <w:rPr>
          <w:color w:val="1F2937"/>
          <w:sz w:val="22"/>
          <w:szCs w:val="22"/>
        </w:rPr>
        <w:t xml:space="preserve">☐  Heb ik een concreet antwoord op “wat zou u nu anders doen”, met een reden waarom het toen niet zo ging?</w:t>
      </w:r>
    </w:p>
    <w:p>
      <w:pPr>
        <w:pStyle w:val="ListParagraph"/>
        <w:numPr>
          <w:ilvl w:val="0"/>
          <w:numId w:val="3"/>
        </w:numPr>
        <w:spacing w:after="100"/>
      </w:pPr>
      <w:r>
        <w:rPr>
          <w:color w:val="1F2937"/>
          <w:sz w:val="22"/>
          <w:szCs w:val="22"/>
        </w:rPr>
        <w:t xml:space="preserve">☐  Kan ik zeggen hoe ik wist dat een oplossing werkte — of eerlijk zeggen dat ik dat niet zeker wist?</w:t>
      </w:r>
    </w:p>
    <w:p>
      <w:pPr>
        <w:pStyle w:val="ListParagraph"/>
        <w:numPr>
          <w:ilvl w:val="0"/>
          <w:numId w:val="3"/>
        </w:numPr>
        <w:spacing w:after="100"/>
      </w:pPr>
      <w:r>
        <w:rPr>
          <w:color w:val="1F2937"/>
          <w:sz w:val="22"/>
          <w:szCs w:val="22"/>
        </w:rPr>
        <w:t xml:space="preserve">☐  Ken ik minstens één randgeval waarop mijn ontwerp zou kunnen breken, en hoe ik dat zou ontdekken?</w:t>
      </w:r>
    </w:p>
    <w:p>
      <w:pPr>
        <w:pStyle w:val="ListParagraph"/>
        <w:numPr>
          <w:ilvl w:val="0"/>
          <w:numId w:val="3"/>
        </w:numPr>
        <w:spacing w:after="100"/>
      </w:pPr>
      <w:r>
        <w:rPr>
          <w:color w:val="1F2937"/>
          <w:sz w:val="22"/>
          <w:szCs w:val="22"/>
        </w:rPr>
        <w:t xml:space="preserve">☐  Heb ik een moment paraat waarop het moeilijk werd, met wat ik toen deed?</w:t>
      </w:r>
    </w:p>
    <w:p>
      <w:pPr>
        <w:pStyle w:val="ListParagraph"/>
        <w:numPr>
          <w:ilvl w:val="0"/>
          <w:numId w:val="3"/>
        </w:numPr>
        <w:spacing w:after="100"/>
      </w:pPr>
      <w:r>
        <w:rPr>
          <w:color w:val="1F2937"/>
          <w:sz w:val="22"/>
          <w:szCs w:val="22"/>
        </w:rPr>
        <w:t xml:space="preserve">☐  Kan ik mijn context en drijvers uitleggen aan iemand die het systeem niet kent, in twee minuten?</w:t>
      </w:r>
    </w:p>
    <w:p>
      <w:pPr>
        <w:pStyle w:val="ListParagraph"/>
        <w:numPr>
          <w:ilvl w:val="0"/>
          <w:numId w:val="3"/>
        </w:numPr>
        <w:spacing w:after="100"/>
      </w:pPr>
      <w:r>
        <w:rPr>
          <w:color w:val="1F2937"/>
          <w:sz w:val="22"/>
          <w:szCs w:val="22"/>
        </w:rPr>
        <w:t xml:space="preserve">☐  Weet ik welke afgewezen alternatieven ik heb gereconstrueerd in plaats van vastgelegd, en zeg ik dat als het ter sprake komt?</w:t>
      </w:r>
    </w:p>
    <w:p>
      <w:pPr>
        <w:pStyle w:val="ListParagraph"/>
        <w:numPr>
          <w:ilvl w:val="0"/>
          <w:numId w:val="3"/>
        </w:numPr>
        <w:spacing w:after="100"/>
      </w:pPr>
      <w:r>
        <w:rPr>
          <w:color w:val="1F2937"/>
          <w:sz w:val="22"/>
          <w:szCs w:val="22"/>
        </w:rPr>
        <w:t xml:space="preserve">☐  Heb ik minstens één ding waar ik nog steeds twijfel over heb — en durf ik die twijfel te tonen?</w:t>
      </w:r>
    </w:p>
    <w:p>
      <w:pPr>
        <w:spacing w:after="160" w:line="276"/>
      </w:pPr>
      <w:r>
        <w:rPr>
          <w:b/>
          <w:bCs/>
          <w:i w:val="false"/>
          <w:iCs w:val="false"/>
          <w:color w:val="1F2937"/>
          <w:sz w:val="22"/>
          <w:szCs w:val="22"/>
        </w:rPr>
        <w:t xml:space="preserve">Die laatste is geen trucje.</w:t>
      </w:r>
      <w:r>
        <w:rPr>
          <w:b w:val="false"/>
          <w:bCs w:val="false"/>
          <w:i w:val="false"/>
          <w:iCs w:val="false"/>
          <w:color w:val="1F2937"/>
          <w:sz w:val="22"/>
          <w:szCs w:val="22"/>
        </w:rPr>
        <w:t xml:space="preserve"> Uit deel 19: een collega-architect die geen twijfel hoort, gaat ervan uit dat u niet hebt nagedacht. Examinatoren zijn in dit opzicht collega-architecten.</w:t>
      </w:r>
    </w:p>
    <w:p>
      <w:pPr>
        <w:pStyle w:val="Heading1"/>
        <w:pBdr>
          <w:bottom w:val="single" w:color="E5E7EB" w:sz="6" w:space="6"/>
        </w:pBdr>
        <w:spacing w:after="180" w:before="380"/>
      </w:pPr>
      <w:r>
        <w:rPr>
          <w:b/>
          <w:bCs/>
          <w:color w:val="1F3A5F"/>
          <w:sz w:val="30"/>
          <w:szCs w:val="30"/>
        </w:rPr>
        <w:t xml:space="preserve">28.5 Omgaan met kritische doorvraag</w:t>
      </w:r>
    </w:p>
    <w:p>
      <w:pPr>
        <w:spacing w:after="160" w:line="276"/>
      </w:pPr>
      <w:r>
        <w:rPr>
          <w:color w:val="1F2937"/>
          <w:sz w:val="22"/>
          <w:szCs w:val="22"/>
        </w:rPr>
        <w:t xml:space="preserve">Dit is waar de cursus culmineert, en het instrumentarium komt volledig uit deel 10 en deel 20.</w:t>
      </w:r>
    </w:p>
    <w:p>
      <w:pPr>
        <w:spacing w:after="160" w:line="276"/>
      </w:pPr>
      <w:r>
        <w:rPr>
          <w:b/>
          <w:bCs/>
          <w:i w:val="false"/>
          <w:iCs w:val="false"/>
          <w:color w:val="1F2937"/>
          <w:sz w:val="22"/>
          <w:szCs w:val="22"/>
        </w:rPr>
        <w:t xml:space="preserve">Drie reacties, en wanneer welke:</w:t>
      </w:r>
    </w:p>
    <w:p>
      <w:pPr>
        <w:spacing w:after="160" w:line="276"/>
      </w:pPr>
      <w:r>
        <w:rPr>
          <w:b/>
          <w:bCs/>
          <w:i w:val="false"/>
          <w:iCs w:val="false"/>
          <w:color w:val="1F2937"/>
          <w:sz w:val="22"/>
          <w:szCs w:val="22"/>
        </w:rPr>
        <w:t xml:space="preserve">Erkennen.</w:t>
      </w:r>
      <w:r>
        <w:rPr>
          <w:b w:val="false"/>
          <w:bCs w:val="false"/>
          <w:i w:val="false"/>
          <w:iCs w:val="false"/>
          <w:color w:val="1F2937"/>
          <w:sz w:val="22"/>
          <w:szCs w:val="22"/>
        </w:rPr>
        <w:t xml:space="preserve"> Het punt is terecht. </w:t>
      </w:r>
      <w:r>
        <w:rPr>
          <w:b w:val="false"/>
          <w:bCs w:val="false"/>
          <w:i/>
          <w:iCs/>
          <w:color w:val="1F2937"/>
          <w:sz w:val="22"/>
          <w:szCs w:val="22"/>
        </w:rPr>
        <w:t xml:space="preserve">“Dat klopt, en het is een zwakte in mijn ontwerp. Wat ik ertegen deed was X; wat overbleef was Y.”</w:t>
      </w:r>
      <w:r>
        <w:rPr>
          <w:b w:val="false"/>
          <w:bCs w:val="false"/>
          <w:i w:val="false"/>
          <w:iCs w:val="false"/>
          <w:color w:val="1F2937"/>
          <w:sz w:val="22"/>
          <w:szCs w:val="22"/>
        </w:rPr>
        <w:t xml:space="preserve"> Een erkend zwak punt met een benoemde maatregel is sterker dan een ontkend zwak punt — dat gold in deel 10 en het geldt hier onveranderd.</w:t>
      </w:r>
    </w:p>
    <w:p>
      <w:pPr>
        <w:spacing w:after="160" w:line="276"/>
      </w:pPr>
      <w:r>
        <w:rPr>
          <w:b/>
          <w:bCs/>
          <w:i w:val="false"/>
          <w:iCs w:val="false"/>
          <w:color w:val="1F2937"/>
          <w:sz w:val="22"/>
          <w:szCs w:val="22"/>
        </w:rPr>
        <w:t xml:space="preserve">Verhelderen.</w:t>
      </w:r>
      <w:r>
        <w:rPr>
          <w:b w:val="false"/>
          <w:bCs w:val="false"/>
          <w:i w:val="false"/>
          <w:iCs w:val="false"/>
          <w:color w:val="1F2937"/>
          <w:sz w:val="22"/>
          <w:szCs w:val="22"/>
        </w:rPr>
        <w:t xml:space="preserve"> U denkt dat er een misverstand is. </w:t>
      </w:r>
      <w:r>
        <w:rPr>
          <w:b w:val="false"/>
          <w:bCs w:val="false"/>
          <w:i/>
          <w:iCs/>
          <w:color w:val="1F2937"/>
          <w:sz w:val="22"/>
          <w:szCs w:val="22"/>
        </w:rPr>
        <w:t xml:space="preserve">“Ik denk dat we langs elkaar heen praten — bedoelt u X, of Y?”</w:t>
      </w:r>
      <w:r>
        <w:rPr>
          <w:b w:val="false"/>
          <w:bCs w:val="false"/>
          <w:i w:val="false"/>
          <w:iCs w:val="false"/>
          <w:color w:val="1F2937"/>
          <w:sz w:val="22"/>
          <w:szCs w:val="22"/>
        </w:rPr>
        <w:t xml:space="preserve"> Dit is geen ontwijking; vaak berust kritiek op een aanname over wat u deed die niet klopt.</w:t>
      </w:r>
    </w:p>
    <w:p>
      <w:pPr>
        <w:spacing w:after="160" w:line="276"/>
      </w:pPr>
      <w:r>
        <w:rPr>
          <w:b/>
          <w:bCs/>
          <w:i w:val="false"/>
          <w:iCs w:val="false"/>
          <w:color w:val="1F2937"/>
          <w:sz w:val="22"/>
          <w:szCs w:val="22"/>
        </w:rPr>
        <w:t xml:space="preserve">Weerleggen.</w:t>
      </w:r>
      <w:r>
        <w:rPr>
          <w:b w:val="false"/>
          <w:bCs w:val="false"/>
          <w:i w:val="false"/>
          <w:iCs w:val="false"/>
          <w:color w:val="1F2937"/>
          <w:sz w:val="22"/>
          <w:szCs w:val="22"/>
        </w:rPr>
        <w:t xml:space="preserve"> Het punt is onterecht, en u hebt de grond om dat te laten zien. </w:t>
      </w:r>
      <w:r>
        <w:rPr>
          <w:b w:val="false"/>
          <w:bCs w:val="false"/>
          <w:i/>
          <w:iCs/>
          <w:color w:val="1F2937"/>
          <w:sz w:val="22"/>
          <w:szCs w:val="22"/>
        </w:rPr>
        <w:t xml:space="preserve">“Dat zou gelden als we drie teams hadden gehad. Bij twee weegt de operationele last zwaarder dan de winst, en dat is de reden dat de herzieningsgrens op vier lag.”</w:t>
      </w:r>
      <w:r>
        <w:rPr>
          <w:b w:val="false"/>
          <w:bCs w:val="false"/>
          <w:i w:val="false"/>
          <w:iCs w:val="false"/>
          <w:color w:val="1F2937"/>
          <w:sz w:val="22"/>
          <w:szCs w:val="22"/>
        </w:rPr>
        <w:t xml:space="preserve"> Weerleggen doet u met de drijvers en de context — nooit met autoriteit, nooit met “dat is nu eenmaal zo”.</w:t>
      </w:r>
    </w:p>
    <w:p>
      <w:pPr>
        <w:spacing w:after="160" w:line="276"/>
      </w:pPr>
      <w:r>
        <w:rPr>
          <w:b/>
          <w:bCs/>
          <w:i w:val="false"/>
          <w:iCs w:val="false"/>
          <w:color w:val="1F2937"/>
          <w:sz w:val="22"/>
          <w:szCs w:val="22"/>
        </w:rPr>
        <w:t xml:space="preserve">Wat u niet doet:</w:t>
      </w:r>
      <w:r>
        <w:rPr>
          <w:b w:val="false"/>
          <w:bCs w:val="false"/>
          <w:i w:val="false"/>
          <w:iCs w:val="false"/>
          <w:color w:val="1F2937"/>
          <w:sz w:val="22"/>
          <w:szCs w:val="22"/>
        </w:rPr>
        <w:t xml:space="preserve"> bij de eerste tegenwerping uw hele antwoord herzien (u draagt uw keuzes dan niet), of elke tegenwerping wegredeneren tot de examinator opgeeft (u luistert dan niet). Beide zijn in deel 10 al benoemd als de twee faalvormen, en zij gelden hier op hun zwaarst — want hier kijkt niemand die u kent.</w:t>
      </w:r>
    </w:p>
    <w:p>
      <w:pPr>
        <w:spacing w:after="160" w:line="276"/>
      </w:pPr>
      <w:r>
        <w:rPr>
          <w:b/>
          <w:bCs/>
          <w:i w:val="false"/>
          <w:iCs w:val="false"/>
          <w:color w:val="1F2937"/>
          <w:sz w:val="22"/>
          <w:szCs w:val="22"/>
        </w:rPr>
        <w:t xml:space="preserve">Bij stilte na uw antwoord:</w:t>
      </w:r>
      <w:r>
        <w:rPr>
          <w:b w:val="false"/>
          <w:bCs w:val="false"/>
          <w:i w:val="false"/>
          <w:iCs w:val="false"/>
          <w:color w:val="1F2937"/>
          <w:sz w:val="22"/>
          <w:szCs w:val="22"/>
        </w:rPr>
        <w:t xml:space="preserve"> laat hem vallen. Niet aanvullen uit onzekerheid. Een goed antwoord dat op zichzelf blijft staan, is sterker dan hetzelfde antwoord gevolgd door drie zinnen die het afzwakken.</w:t>
      </w:r>
    </w:p>
    <w:p>
      <w:pPr>
        <w:pStyle w:val="Heading1"/>
        <w:pBdr>
          <w:bottom w:val="single" w:color="E5E7EB" w:sz="6" w:space="6"/>
        </w:pBdr>
        <w:spacing w:after="180" w:before="380"/>
      </w:pPr>
      <w:r>
        <w:rPr>
          <w:b/>
          <w:bCs/>
          <w:color w:val="1F3A5F"/>
          <w:sz w:val="30"/>
          <w:szCs w:val="30"/>
        </w:rPr>
        <w:t xml:space="preserve">Dagdeel B — Tweede ronde en afsluiting</w:t>
      </w:r>
    </w:p>
    <w:p>
      <w:pPr>
        <w:pStyle w:val="Heading1"/>
        <w:pBdr>
          <w:bottom w:val="single" w:color="E5E7EB" w:sz="6" w:space="6"/>
        </w:pBdr>
        <w:spacing w:after="180" w:before="380"/>
      </w:pPr>
      <w:r>
        <w:rPr>
          <w:b/>
          <w:bCs/>
          <w:color w:val="1F3A5F"/>
          <w:sz w:val="30"/>
          <w:szCs w:val="30"/>
        </w:rPr>
        <w:t xml:space="preserve">28.6 De simulatie</w:t>
      </w:r>
    </w:p>
    <w:p>
      <w:pPr>
        <w:spacing w:after="160" w:line="276"/>
      </w:pPr>
      <w:r>
        <w:rPr>
          <w:b/>
          <w:bCs/>
          <w:i w:val="false"/>
          <w:iCs w:val="false"/>
          <w:color w:val="1F2937"/>
          <w:sz w:val="22"/>
          <w:szCs w:val="22"/>
        </w:rPr>
        <w:t xml:space="preserve">Opzet.</w:t>
      </w:r>
      <w:r>
        <w:rPr>
          <w:b w:val="false"/>
          <w:bCs w:val="false"/>
          <w:i w:val="false"/>
          <w:iCs w:val="false"/>
          <w:color w:val="1F2937"/>
          <w:sz w:val="22"/>
          <w:szCs w:val="22"/>
        </w:rPr>
        <w:t xml:space="preserve"> U wisselt van rol: eerst kandidaat, dan examinator bij een ander. Beide rollen leren u iets. Als examinator ziet u van buitenaf wat een sterk antwoord onderscheidt van een zwak — en dat leert u meer over uw eigen aanstaande interview dan alleen zelf te oefenen.</w:t>
      </w:r>
    </w:p>
    <w:p>
      <w:pPr>
        <w:spacing w:after="160" w:line="276"/>
      </w:pPr>
      <w:r>
        <w:rPr>
          <w:b/>
          <w:bCs/>
          <w:i w:val="false"/>
          <w:iCs w:val="false"/>
          <w:color w:val="1F2937"/>
          <w:sz w:val="22"/>
          <w:szCs w:val="22"/>
        </w:rPr>
        <w:t xml:space="preserve">Als kandidaat:</w:t>
      </w:r>
      <w:r>
        <w:rPr>
          <w:b w:val="false"/>
          <w:bCs w:val="false"/>
          <w:i w:val="false"/>
          <w:iCs w:val="false"/>
          <w:color w:val="1F2937"/>
          <w:sz w:val="22"/>
          <w:szCs w:val="22"/>
        </w:rPr>
        <w:t xml:space="preserve"> presenteer binnen het tijdsbestek, beantwoord de vragen van uw panel, gebruik de checklist uit 28.4 vooraf.</w:t>
      </w:r>
    </w:p>
    <w:p>
      <w:pPr>
        <w:spacing w:after="160" w:line="276"/>
      </w:pPr>
      <w:r>
        <w:rPr>
          <w:b/>
          <w:bCs/>
          <w:i w:val="false"/>
          <w:iCs w:val="false"/>
          <w:color w:val="1F2937"/>
          <w:sz w:val="22"/>
          <w:szCs w:val="22"/>
        </w:rPr>
        <w:t xml:space="preserve">Als examinator:</w:t>
      </w:r>
      <w:r>
        <w:rPr>
          <w:b w:val="false"/>
          <w:bCs w:val="false"/>
          <w:i w:val="false"/>
          <w:iCs w:val="false"/>
          <w:color w:val="1F2937"/>
          <w:sz w:val="22"/>
          <w:szCs w:val="22"/>
        </w:rPr>
        <w:t xml:space="preserve"> stel minstens één vraag uit elk van de zeven categorieën uit 28.3. Wees kritisch en eerlijk — een panel dat alles goedkeurt, bereidt niemand voor.</w:t>
      </w:r>
    </w:p>
    <w:p>
      <w:pPr>
        <w:spacing w:after="160" w:line="276"/>
      </w:pPr>
      <w:r>
        <w:rPr>
          <w:b/>
          <w:bCs/>
          <w:i w:val="false"/>
          <w:iCs w:val="false"/>
          <w:color w:val="1F2937"/>
          <w:sz w:val="22"/>
          <w:szCs w:val="22"/>
        </w:rPr>
        <w:t xml:space="preserve">Als toehoorder/derde:</w:t>
      </w:r>
      <w:r>
        <w:rPr>
          <w:b w:val="false"/>
          <w:bCs w:val="false"/>
          <w:i w:val="false"/>
          <w:iCs w:val="false"/>
          <w:color w:val="1F2937"/>
          <w:sz w:val="22"/>
          <w:szCs w:val="22"/>
        </w:rPr>
        <w:t xml:space="preserve"> noteer specifiek waar de kandidaat erkende, verhelderde of weerlegde, en of dat de juiste keuze was op dat moment.</w:t>
      </w:r>
    </w:p>
    <w:p>
      <w:pPr>
        <w:pStyle w:val="Heading1"/>
        <w:pBdr>
          <w:bottom w:val="single" w:color="E5E7EB" w:sz="6" w:space="6"/>
        </w:pBdr>
        <w:spacing w:after="180" w:before="380"/>
      </w:pPr>
      <w:r>
        <w:rPr>
          <w:b/>
          <w:bCs/>
          <w:color w:val="1F3A5F"/>
          <w:sz w:val="30"/>
          <w:szCs w:val="30"/>
        </w:rPr>
        <w:t xml:space="preserve">28.7 De boog van de hele cursus</w:t>
      </w:r>
    </w:p>
    <w:p>
      <w:pPr>
        <w:spacing w:after="160" w:line="276"/>
      </w:pPr>
      <w:r>
        <w:rPr>
          <w:color w:val="1F2937"/>
          <w:sz w:val="22"/>
          <w:szCs w:val="22"/>
        </w:rPr>
        <w:t xml:space="preserve">Voordat u het laatste woord krijgt, is het de moeite waard terug te kijken op wat er acht-en-twintig delen lang is opgebouwd.</w:t>
      </w:r>
    </w:p>
    <w:p>
      <w:pPr>
        <w:spacing w:after="160" w:line="276"/>
      </w:pPr>
      <w:r>
        <w:rPr>
          <w:b/>
          <w:bCs/>
          <w:i w:val="false"/>
          <w:iCs w:val="false"/>
          <w:color w:val="1F2937"/>
          <w:sz w:val="22"/>
          <w:szCs w:val="22"/>
        </w:rPr>
        <w:t xml:space="preserve">Niveau 1</w:t>
      </w:r>
      <w:r>
        <w:rPr>
          <w:b w:val="false"/>
          <w:bCs w:val="false"/>
          <w:i w:val="false"/>
          <w:iCs w:val="false"/>
          <w:color w:val="1F2937"/>
          <w:sz w:val="22"/>
          <w:szCs w:val="22"/>
        </w:rPr>
        <w:t xml:space="preserve"> begon met een post-mortem: een mislukt programma, zeven bevindingen, en de vraag welke vraag niet was gesteld. Het eindigde met een verdedigd ontwerp voor een systeem dat nog moest worden gebouwd.</w:t>
      </w:r>
    </w:p>
    <w:p>
      <w:pPr>
        <w:spacing w:after="160" w:line="276"/>
      </w:pPr>
      <w:r>
        <w:rPr>
          <w:b/>
          <w:bCs/>
          <w:i w:val="false"/>
          <w:iCs w:val="false"/>
          <w:color w:val="1F2937"/>
          <w:sz w:val="22"/>
          <w:szCs w:val="22"/>
        </w:rPr>
        <w:t xml:space="preserve">Niveau 2</w:t>
      </w:r>
      <w:r>
        <w:rPr>
          <w:b w:val="false"/>
          <w:bCs w:val="false"/>
          <w:i w:val="false"/>
          <w:iCs w:val="false"/>
          <w:color w:val="1F2937"/>
          <w:sz w:val="22"/>
          <w:szCs w:val="22"/>
        </w:rPr>
        <w:t xml:space="preserve"> liet dat ontwerp bouwen, deel voor deel, met een sprintprobleem als aanleiding voor elk onderwerp: een partnerbegrip dat vier contexten moest bedienen, een transactiegrens die niemand had getrokken, een herzieningsgrens die daadwerkelijk werd getoetst, een reconstructieproef die faalde op het juiste moment. Het communicatieve competentiegebied voegde toe wat niveau 1 en het begin van niveau 2 onbenoemd lieten: dat een architectuur die u niet kunt overdragen, geen architectuur is maar een voorkeur.</w:t>
      </w:r>
    </w:p>
    <w:p>
      <w:pPr>
        <w:spacing w:after="160" w:line="276"/>
      </w:pPr>
      <w:r>
        <w:rPr>
          <w:b/>
          <w:bCs/>
          <w:i w:val="false"/>
          <w:iCs w:val="false"/>
          <w:color w:val="1F2937"/>
          <w:sz w:val="22"/>
          <w:szCs w:val="22"/>
        </w:rPr>
        <w:t xml:space="preserve">Niveau 3</w:t>
      </w:r>
      <w:r>
        <w:rPr>
          <w:b w:val="false"/>
          <w:bCs w:val="false"/>
          <w:i w:val="false"/>
          <w:iCs w:val="false"/>
          <w:color w:val="1F2937"/>
          <w:sz w:val="22"/>
          <w:szCs w:val="22"/>
        </w:rPr>
        <w:t xml:space="preserve"> trok de vloer weg onder wat gebouwd was: een tweede fonds dat elke onomkeerbare beslissing raakte, een migratie die strandde op gegevens in plaats van op techniek, een deadline die niet verschoof, en — het zwaarste — een fout die twaalf jaar oud bleek en waarvan de reconstructie alleen mogelijk was dankzij een architectuurkeuze die ooit met abstracte argumenten was verdedigd.</w:t>
      </w:r>
    </w:p>
    <w:p>
      <w:pPr>
        <w:spacing w:after="160" w:line="276"/>
      </w:pPr>
      <w:r>
        <w:rPr>
          <w:b/>
          <w:bCs/>
          <w:i w:val="false"/>
          <w:iCs w:val="false"/>
          <w:color w:val="1F2937"/>
          <w:sz w:val="22"/>
          <w:szCs w:val="22"/>
        </w:rPr>
        <w:t xml:space="preserve">Drie patronen liepen door de hele reeks, en zij zijn wat u meeneemt, meer dan enige losse techniek:</w:t>
      </w:r>
    </w:p>
    <w:p>
      <w:pPr>
        <w:pStyle w:val="ListParagraph"/>
        <w:numPr>
          <w:ilvl w:val="0"/>
          <w:numId w:val="4"/>
        </w:numPr>
        <w:spacing w:after="120"/>
      </w:pPr>
      <w:r>
        <w:rPr>
          <w:b/>
          <w:bCs/>
          <w:color w:val="1F2937"/>
          <w:sz w:val="22"/>
          <w:szCs w:val="22"/>
        </w:rPr>
        <w:t xml:space="preserve">Een vraag die niet wordt gesteld, is duurder dan een vraag die verkeerd wordt beantwoord.</w:t>
      </w:r>
      <w:r>
        <w:rPr>
          <w:color w:val="1F2937"/>
          <w:sz w:val="22"/>
          <w:szCs w:val="22"/>
        </w:rPr>
        <w:t xml:space="preserve"> Van het significantiecriterium in deel 1 tot de precisievragen in deel 25 — de architect die de juiste vraag stelt, wint meer dan de architect die de juiste techniek kent.</w:t>
      </w:r>
    </w:p>
    <w:p>
      <w:pPr>
        <w:pStyle w:val="ListParagraph"/>
        <w:numPr>
          <w:ilvl w:val="0"/>
          <w:numId w:val="4"/>
        </w:numPr>
        <w:spacing w:after="120"/>
      </w:pPr>
      <w:r>
        <w:rPr>
          <w:b/>
          <w:bCs/>
          <w:color w:val="1F2937"/>
          <w:sz w:val="22"/>
          <w:szCs w:val="22"/>
        </w:rPr>
        <w:t xml:space="preserve">Wat niet wordt gehandhaafd, verdwijnt — en dat geldt voor techniek én voor gedrag.</w:t>
      </w:r>
      <w:r>
        <w:rPr>
          <w:color w:val="1F2937"/>
          <w:sz w:val="22"/>
          <w:szCs w:val="22"/>
        </w:rPr>
        <w:t xml:space="preserve"> De borgingsladder uit deel 9 keerde terug bij modulegrenzen, cross-cutting concepten, security, fitness functions, en uiteindelijk bij de vraag of u zelf blijft melden wanneer het ongemakkelijk wordt.</w:t>
      </w:r>
    </w:p>
    <w:p>
      <w:pPr>
        <w:pStyle w:val="ListParagraph"/>
        <w:numPr>
          <w:ilvl w:val="0"/>
          <w:numId w:val="4"/>
        </w:numPr>
        <w:spacing w:after="120"/>
      </w:pPr>
      <w:r>
        <w:rPr>
          <w:b/>
          <w:bCs/>
          <w:color w:val="1F2937"/>
          <w:sz w:val="22"/>
          <w:szCs w:val="22"/>
        </w:rPr>
        <w:t xml:space="preserve">Sommige besluiten zijn niet aan u — en uw waarde zit niet in ze overnemen maar in ze scherp voorleggen.</w:t>
      </w:r>
      <w:r>
        <w:rPr>
          <w:color w:val="1F2937"/>
          <w:sz w:val="22"/>
          <w:szCs w:val="22"/>
        </w:rPr>
        <w:t xml:space="preserve"> Dit patroon begon zacht in deel 2 (de opdrachtgever prioriteert) en eindigde hard in deel 26 en 27 (nooit zwijgen, maar ook nooit het besluit grijpen dat niet aan u is).</w:t>
      </w:r>
    </w:p>
    <w:p>
      <w:pPr>
        <w:spacing w:after="160" w:line="276"/>
      </w:pPr>
      <w:r>
        <w:rPr>
          <w:b/>
          <w:bCs/>
          <w:i w:val="false"/>
          <w:iCs w:val="false"/>
          <w:color w:val="1F2937"/>
          <w:sz w:val="22"/>
          <w:szCs w:val="22"/>
        </w:rPr>
        <w:t xml:space="preserve">Wat dit voor uw eigen praktijk betekent, is niet dat u alles uit deze cursus zult onthouden.</w:t>
      </w:r>
      <w:r>
        <w:rPr>
          <w:b w:val="false"/>
          <w:bCs w:val="false"/>
          <w:i w:val="false"/>
          <w:iCs w:val="false"/>
          <w:color w:val="1F2937"/>
          <w:sz w:val="22"/>
          <w:szCs w:val="22"/>
        </w:rPr>
        <w:t xml:space="preserve"> Het is dat u, wanneer u over twee jaar voor een vergelijkbare situatie staat, het gevoel herkent dat er een vraag is die u nog niet hebt gesteld — en dat u weet dat dat gevoel de moeite van het volgen waard is.</w:t>
      </w:r>
    </w:p>
    <w:p>
      <w:pPr>
        <w:pStyle w:val="Heading1"/>
        <w:pBdr>
          <w:bottom w:val="single" w:color="E5E7EB" w:sz="6" w:space="6"/>
        </w:pBdr>
        <w:spacing w:after="180" w:before="380"/>
      </w:pPr>
      <w:r>
        <w:rPr>
          <w:b/>
          <w:bCs/>
          <w:color w:val="1F3A5F"/>
          <w:sz w:val="30"/>
          <w:szCs w:val="30"/>
        </w:rPr>
        <w:t xml:space="preserve">28.8 Na vandaag</w:t>
      </w:r>
    </w:p>
    <w:p>
      <w:pPr>
        <w:spacing w:after="160" w:line="276"/>
      </w:pPr>
      <w:r>
        <w:rPr>
          <w:b/>
          <w:bCs/>
          <w:i w:val="false"/>
          <w:iCs w:val="false"/>
          <w:color w:val="1F2937"/>
          <w:sz w:val="22"/>
          <w:szCs w:val="22"/>
        </w:rPr>
        <w:t xml:space="preserve">Voor het echte traject.</w:t>
      </w:r>
      <w:r>
        <w:rPr>
          <w:b w:val="false"/>
          <w:bCs w:val="false"/>
          <w:i w:val="false"/>
          <w:iCs w:val="false"/>
          <w:color w:val="1F2937"/>
          <w:sz w:val="22"/>
          <w:szCs w:val="22"/>
        </w:rPr>
        <w:t xml:space="preserve"> Neem uw ervaring uit de simulatie mee, herzie uw opdracht op de punten waar u aarzelde, en meld u aan bij een geaccrediteerd examenbureau. Controleer de actuele procedure op isaqb.org — dit deel bereidde u inhoudelijk voor; de formele stappen zijn aan u en aan de officiële instantie.</w:t>
      </w:r>
    </w:p>
    <w:p>
      <w:pPr>
        <w:spacing w:after="160" w:line="276"/>
      </w:pPr>
      <w:r>
        <w:rPr>
          <w:b/>
          <w:bCs/>
          <w:i w:val="false"/>
          <w:iCs w:val="false"/>
          <w:color w:val="1F2937"/>
          <w:sz w:val="22"/>
          <w:szCs w:val="22"/>
        </w:rPr>
        <w:t xml:space="preserve">Voor wie hier stopt.</w:t>
      </w:r>
      <w:r>
        <w:rPr>
          <w:b w:val="false"/>
          <w:bCs w:val="false"/>
          <w:i w:val="false"/>
          <w:iCs w:val="false"/>
          <w:color w:val="1F2937"/>
          <w:sz w:val="22"/>
          <w:szCs w:val="22"/>
        </w:rPr>
        <w:t xml:space="preserve"> Niet iedereen die deze cursus volgt, gaat het formele certificeringstraject in, en dat is een legitieme keuze. Wat blijft, ongeacht die keuze: het instrumentarium uit deze acht-en-twintig delen is bruikbaar op maandag, zonder mandaat en zonder certificaat — het significantiecriterium, de ADR, de rekensom, de besluitnota, de vraag “wie draagt dit risico”, en de bereidheid te blijven melden.</w:t>
      </w:r>
    </w:p>
    <w:p>
      <w:pPr>
        <w:spacing w:after="160" w:line="276"/>
      </w:pPr>
      <w:r>
        <w:rPr>
          <w:b/>
          <w:bCs/>
          <w:i w:val="false"/>
          <w:iCs w:val="false"/>
          <w:color w:val="1F2937"/>
          <w:sz w:val="22"/>
          <w:szCs w:val="22"/>
        </w:rPr>
        <w:t xml:space="preserve">Een laatste vraag om mee te nemen, niet om nu te beantwoorden:</w:t>
      </w:r>
      <w:r>
        <w:rPr>
          <w:b w:val="false"/>
          <w:bCs w:val="false"/>
          <w:i w:val="false"/>
          <w:iCs w:val="false"/>
          <w:color w:val="1F2937"/>
          <w:sz w:val="22"/>
          <w:szCs w:val="22"/>
        </w:rPr>
        <w:t xml:space="preserve"> wat is de architectuurbeslissing in uw huidige werk waarvan u, over vijf jaar, zou willen dat zij goed was vastgelegd?</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3"/>
        </w:numPr>
        <w:spacing w:after="100"/>
      </w:pPr>
      <w:r>
        <w:rPr>
          <w:color w:val="1F2937"/>
          <w:sz w:val="22"/>
          <w:szCs w:val="22"/>
        </w:rPr>
        <w:t xml:space="preserve">Het interview toetst niet de opdracht maar of u de opdracht bent — of u op elk moment kunt uitleggen waarom.</w:t>
      </w:r>
    </w:p>
    <w:p>
      <w:pPr>
        <w:pStyle w:val="ListParagraph"/>
        <w:numPr>
          <w:ilvl w:val="0"/>
          <w:numId w:val="3"/>
        </w:numPr>
        <w:spacing w:after="100"/>
      </w:pPr>
      <w:r>
        <w:rPr>
          <w:color w:val="1F2937"/>
          <w:sz w:val="22"/>
          <w:szCs w:val="22"/>
        </w:rPr>
        <w:t xml:space="preserve">Presenteer kort en gericht op wat de examinatoren nog niet weten: context, drijvers, de zwaarste beslissing, wat er misging.</w:t>
      </w:r>
    </w:p>
    <w:p>
      <w:pPr>
        <w:pStyle w:val="ListParagraph"/>
        <w:numPr>
          <w:ilvl w:val="0"/>
          <w:numId w:val="3"/>
        </w:numPr>
        <w:spacing w:after="100"/>
      </w:pPr>
      <w:r>
        <w:rPr>
          <w:color w:val="1F2937"/>
          <w:sz w:val="22"/>
          <w:szCs w:val="22"/>
        </w:rPr>
        <w:t xml:space="preserve">Zeven vraagtypen: alternatieven, prijs, rolgrens, terugblik, meting, gevoeligheid, integriteit — elk al geoefend in eerdere delen.</w:t>
      </w:r>
    </w:p>
    <w:p>
      <w:pPr>
        <w:pStyle w:val="ListParagraph"/>
        <w:numPr>
          <w:ilvl w:val="0"/>
          <w:numId w:val="3"/>
        </w:numPr>
        <w:spacing w:after="100"/>
      </w:pPr>
      <w:r>
        <w:rPr>
          <w:color w:val="1F2937"/>
          <w:sz w:val="22"/>
          <w:szCs w:val="22"/>
        </w:rPr>
        <w:t xml:space="preserve">Bereid u voor met de checklist; elke “nee” is werk van vandaag, en een oprechte twijfel is geen zwakte.</w:t>
      </w:r>
    </w:p>
    <w:p>
      <w:pPr>
        <w:pStyle w:val="ListParagraph"/>
        <w:numPr>
          <w:ilvl w:val="0"/>
          <w:numId w:val="3"/>
        </w:numPr>
        <w:spacing w:after="100"/>
      </w:pPr>
      <w:r>
        <w:rPr>
          <w:color w:val="1F2937"/>
          <w:sz w:val="22"/>
          <w:szCs w:val="22"/>
        </w:rPr>
        <w:t xml:space="preserve">Erkennen, verhelderen, weerleggen — nooit bij de eerste tegenwerping omvallen, nooit alles wegredeneren.</w:t>
      </w:r>
    </w:p>
    <w:p>
      <w:pPr>
        <w:pStyle w:val="ListParagraph"/>
        <w:numPr>
          <w:ilvl w:val="0"/>
          <w:numId w:val="3"/>
        </w:numPr>
        <w:spacing w:after="100"/>
      </w:pPr>
      <w:r>
        <w:rPr>
          <w:color w:val="1F2937"/>
          <w:sz w:val="22"/>
          <w:szCs w:val="22"/>
        </w:rPr>
        <w:t xml:space="preserve">Drie patronen liepen door de hele cursus: de ongestelde vraag is duurder dan het verkeerde antwoord; wat niet gehandhaafd wordt verdwijnt; sommige besluiten zijn niet aan u en uw waarde zit in ze scherp voorleggen.</w:t>
      </w:r>
    </w:p>
    <w:p>
      <w:pPr>
        <w:pStyle w:val="ListParagraph"/>
        <w:numPr>
          <w:ilvl w:val="0"/>
          <w:numId w:val="3"/>
        </w:numPr>
        <w:spacing w:after="100"/>
      </w:pPr>
      <w:r>
        <w:rPr>
          <w:color w:val="1F2937"/>
          <w:sz w:val="22"/>
          <w:szCs w:val="22"/>
        </w:rPr>
        <w:t xml:space="preserve">Het instrumentarium is bruikbaar zonder certificaat en zonder mandaat, vanaf morgen.</w:t>
      </w:r>
    </w:p>
    <w:p>
      <w:pPr>
        <w:pStyle w:val="Heading1"/>
        <w:pBdr>
          <w:bottom w:val="single" w:color="E5E7EB" w:sz="6" w:space="6"/>
        </w:pBdr>
        <w:spacing w:after="180" w:before="380"/>
      </w:pPr>
      <w:r>
        <w:rPr>
          <w:b/>
          <w:bCs/>
          <w:color w:val="1F3A5F"/>
          <w:sz w:val="30"/>
          <w:szCs w:val="30"/>
        </w:rPr>
        <w:t xml:space="preserve">Kernbegrippen</w:t>
      </w:r>
    </w:p>
    <w:p>
      <w:pPr>
        <w:pStyle w:val="ListParagraph"/>
        <w:numPr>
          <w:ilvl w:val="0"/>
          <w:numId w:val="3"/>
        </w:numPr>
        <w:spacing w:after="100"/>
      </w:pPr>
      <w:r>
        <w:rPr>
          <w:b/>
          <w:bCs/>
          <w:color w:val="1F2937"/>
          <w:sz w:val="22"/>
          <w:szCs w:val="22"/>
        </w:rPr>
        <w:t xml:space="preserve">Het interview — </w:t>
      </w:r>
      <w:r>
        <w:rPr>
          <w:color w:val="1F2937"/>
          <w:sz w:val="22"/>
          <w:szCs w:val="22"/>
        </w:rPr>
        <w:t xml:space="preserve">een gesprek dat toetst of de kandidaat de ingediende opdracht zelf heeft doorleefd, niet of de opdracht op zichzelf goed is.</w:t>
      </w:r>
    </w:p>
    <w:p>
      <w:pPr>
        <w:pStyle w:val="ListParagraph"/>
        <w:numPr>
          <w:ilvl w:val="0"/>
          <w:numId w:val="3"/>
        </w:numPr>
        <w:spacing w:after="100"/>
      </w:pPr>
      <w:r>
        <w:rPr>
          <w:b/>
          <w:bCs/>
          <w:color w:val="1F2937"/>
          <w:sz w:val="22"/>
          <w:szCs w:val="22"/>
        </w:rPr>
        <w:t xml:space="preserve">De alternatievenvraag, de prijsvraag, de rolgrensvraag, de terugblikvraag, de meetvraag, de gevoeligheidsvraag, de integriteitsvraag — </w:t>
      </w:r>
      <w:r>
        <w:rPr>
          <w:color w:val="1F2937"/>
          <w:sz w:val="22"/>
          <w:szCs w:val="22"/>
        </w:rPr>
        <w:t xml:space="preserve">de zeven terugkerende vraagfamilies.</w:t>
      </w:r>
    </w:p>
    <w:p>
      <w:pPr>
        <w:pStyle w:val="ListParagraph"/>
        <w:numPr>
          <w:ilvl w:val="0"/>
          <w:numId w:val="3"/>
        </w:numPr>
        <w:spacing w:after="100"/>
      </w:pPr>
      <w:r>
        <w:rPr>
          <w:b/>
          <w:bCs/>
          <w:color w:val="1F2937"/>
          <w:sz w:val="22"/>
          <w:szCs w:val="22"/>
        </w:rPr>
        <w:t xml:space="preserve">Erkennen, verhelderen, weerleggen — </w:t>
      </w:r>
      <w:r>
        <w:rPr>
          <w:color w:val="1F2937"/>
          <w:sz w:val="22"/>
          <w:szCs w:val="22"/>
        </w:rPr>
        <w:t xml:space="preserve">de drie geldige reacties op kritische doorvraag, uit deel 10 en 20.</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3"/>
        </w:numPr>
        <w:spacing w:after="100"/>
      </w:pPr>
      <w:r>
        <w:rPr>
          <w:b w:val="false"/>
          <w:bCs w:val="false"/>
          <w:i w:val="false"/>
          <w:iCs w:val="false"/>
          <w:color w:val="1F2937"/>
          <w:sz w:val="22"/>
          <w:szCs w:val="22"/>
        </w:rPr>
        <w:t xml:space="preserve">iSAQB, de actuele procedure en criteria voor het Advanced-certificeringsinterview — isaqb.org. </w:t>
      </w:r>
      <w:r>
        <w:rPr>
          <w:b/>
          <w:bCs/>
          <w:i w:val="false"/>
          <w:iCs w:val="false"/>
          <w:color w:val="1F2937"/>
          <w:sz w:val="22"/>
          <w:szCs w:val="22"/>
        </w:rPr>
        <w:t xml:space="preserve">Dit is uw eerstvolgende stap.</w:t>
      </w:r>
    </w:p>
    <w:p>
      <w:pPr>
        <w:pStyle w:val="ListParagraph"/>
        <w:numPr>
          <w:ilvl w:val="0"/>
          <w:numId w:val="3"/>
        </w:numPr>
        <w:spacing w:after="100"/>
      </w:pPr>
      <w:r>
        <w:rPr>
          <w:color w:val="1F2937"/>
          <w:sz w:val="22"/>
          <w:szCs w:val="22"/>
        </w:rPr>
        <w:t xml:space="preserve">Deel 10 (verdediging), deel 19 (besluitnota), deel 20 (rolgrens en argumentatie) van deze cursus — de instrumenten die dit deel samenbrengt.</w:t>
      </w:r>
    </w:p>
    <w:p>
      <w:pPr>
        <w:pStyle w:val="ListParagraph"/>
        <w:numPr>
          <w:ilvl w:val="0"/>
          <w:numId w:val="3"/>
        </w:numPr>
        <w:spacing w:after="100"/>
      </w:pPr>
      <w:r>
        <w:rPr>
          <w:color w:val="1F2937"/>
          <w:sz w:val="22"/>
          <w:szCs w:val="22"/>
        </w:rPr>
        <w:t xml:space="preserve">Uw eigen certificeringsopdracht en de aantekeningen die u sinds deel 22 hebt bijgehouden.</w:t>
      </w:r>
    </w:p>
    <w:p>
      <w:pPr>
        <w:pBdr>
          <w:top w:val="single" w:color="E5E7EB" w:sz="4" w:space="8"/>
        </w:pBdr>
        <w:spacing w:before="400"/>
        <w:jc w:val="center"/>
      </w:pPr>
      <w:r>
        <w:rPr>
          <w:i/>
          <w:iCs/>
          <w:color w:val="6B7280"/>
          <w:sz w:val="17"/>
          <w:szCs w:val="17"/>
        </w:rPr>
        <w:t xml:space="preserve">Ductus B.V. · Cursus Softwarearchitectuur · Niveau 3, deel 28 · Deelnemersreader · Einde van de cursus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2026-08-17T19:53:14.816Z</dcterms:created>
  <dcterms:modified xsi:type="dcterms:W3CDTF">2026-08-17T19:53:14.817Z</dcterms:modified>
</cp:coreProperties>
</file>

<file path=docProps/custom.xml><?xml version="1.0" encoding="utf-8"?>
<Properties xmlns="http://schemas.openxmlformats.org/officeDocument/2006/custom-properties" xmlns:vt="http://schemas.openxmlformats.org/officeDocument/2006/docPropsVTypes"/>
</file>