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Toolbijlage — Structurizr</w:t>
      </w:r>
    </w:p>
    <w:p>
      <w:pPr>
        <w:spacing w:after="200"/>
      </w:pPr>
      <w:r>
        <w:rPr>
          <w:b/>
          <w:bCs/>
          <w:color w:val="4A6789"/>
          <w:sz w:val="26"/>
          <w:szCs w:val="26"/>
        </w:rPr>
        <w:t xml:space="preserve">Referentiemateriaal, buiten de deelnummering</w:t>
      </w:r>
    </w:p>
    <w:p>
      <w:pPr>
        <w:spacing w:after="400"/>
      </w:pPr>
      <w:r>
        <w:rPr>
          <w:color w:val="6B7280"/>
          <w:sz w:val="20"/>
          <w:szCs w:val="20"/>
        </w:rPr>
        <w:t xml:space="preserve">Cursus Softwarearchitectuur · Niveau 1–3 · Ductus B.V.</w:t>
      </w:r>
    </w:p>
    <w:p>
      <w:pPr>
        <w:pStyle w:val="Heading1"/>
        <w:pBdr>
          <w:bottom w:val="single" w:color="E5E7EB" w:sz="6" w:space="6"/>
        </w:pBdr>
        <w:spacing w:after="180" w:before="380"/>
      </w:pPr>
      <w:r>
        <w:rPr>
          <w:b/>
          <w:bCs/>
          <w:color w:val="1F3A5F"/>
          <w:sz w:val="30"/>
          <w:szCs w:val="30"/>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pPr>
              <w:spacing w:after="160" w:line="276"/>
            </w:pPr>
            <w:r>
              <w:rPr>
                <w:b w:val="false"/>
                <w:bCs w:val="false"/>
                <w:i/>
                <w:iCs/>
                <w:color w:val="1F2937"/>
                <w:sz w:val="21"/>
                <w:szCs w:val="21"/>
              </w:rPr>
              <w:t xml:space="preserve">Deze bijlage hoort bij geen enkel specifiek deel en wordt doorheen de cursus aangehaald wanneer C4-diagrammen ter sprake komen (met name deel 7, 13, 16, 18, 23). Zij is technologieneutraal in de zin dat de cursus zelf geen tool voorschrijft — Structurizr is de referentietool omdat zij open source is, de C4-notatie rechtstreeks ondersteunt, en tekst-als-code toepast, wat aansluit bij de documentatiefilosofie uit deel 7 ("de code is dichter bij de waarheid dan het plaatje"). </w:t>
            </w:r>
            <w:r>
              <w:rPr>
                <w:b/>
                <w:bCs/>
                <w:i/>
                <w:iCs/>
                <w:color w:val="1F2937"/>
                <w:sz w:val="21"/>
                <w:szCs w:val="21"/>
              </w:rPr>
              <w:t xml:space="preserve">Producten en versies wijzigen; controleer bij gebruik de actuele documentatie op structurizr.com. </w:t>
            </w:r>
            <w:r>
              <w:rPr>
                <w:b w:val="false"/>
                <w:bCs w:val="false"/>
                <w:i/>
                <w:iCs/>
                <w:color w:val="1F2937"/>
                <w:sz w:val="21"/>
                <w:szCs w:val="21"/>
              </w:rPr>
              <w:t xml:space="preserve">Deze bijlage legt uit hoe u de tool gebruikt om wat de cursus inhoudelijk behandelt te modelleren — zij voegt geen nieuwe architectuurinhoud toe.</w:t>
            </w:r>
          </w:p>
        </w:tc>
      </w:tr>
    </w:tbl>
    <w:p>
      <w:pPr>
        <w:spacing w:after="300"/>
      </w:pPr>
    </w:p>
    <w:p>
      <w:pPr>
        <w:pStyle w:val="Heading1"/>
        <w:pBdr>
          <w:bottom w:val="single" w:color="E5E7EB" w:sz="6" w:space="6"/>
        </w:pBdr>
        <w:spacing w:after="180" w:before="380"/>
      </w:pPr>
      <w:r>
        <w:rPr>
          <w:b/>
          <w:bCs/>
          <w:color w:val="1F3A5F"/>
          <w:sz w:val="30"/>
          <w:szCs w:val="30"/>
        </w:rPr>
        <w:t xml:space="preserve">Waarom een tekst-als-code-tool voor diagrammen</w:t>
      </w:r>
    </w:p>
    <w:p>
      <w:pPr>
        <w:spacing w:after="160" w:line="276"/>
      </w:pPr>
      <w:r>
        <w:rPr>
          <w:color w:val="1F2937"/>
          <w:sz w:val="22"/>
          <w:szCs w:val="22"/>
        </w:rPr>
        <w:t xml:space="preserve">Uit deel 7: architectuurdocumentatie veroudert het snelst wanneer zij losstaat van wat zij beschrijft. Een diagram getekend in een los tekenprogramma is na de eerste wijziging al niet meer synchroon met de code — niemand denkt eraan het bij te werken, want het kost een aparte handeling in een ander programma.</w:t>
      </w:r>
    </w:p>
    <w:p>
      <w:pPr>
        <w:spacing w:after="160" w:line="276"/>
      </w:pPr>
      <w:r>
        <w:rPr>
          <w:b/>
          <w:bCs/>
          <w:i w:val="false"/>
          <w:iCs w:val="false"/>
          <w:color w:val="1F2937"/>
          <w:sz w:val="22"/>
          <w:szCs w:val="22"/>
        </w:rPr>
        <w:t xml:space="preserve">Structurizr keert dat om. </w:t>
      </w:r>
      <w:r>
        <w:rPr>
          <w:b w:val="false"/>
          <w:bCs w:val="false"/>
          <w:i w:val="false"/>
          <w:iCs w:val="false"/>
          <w:color w:val="1F2937"/>
          <w:sz w:val="22"/>
          <w:szCs w:val="22"/>
        </w:rPr>
        <w:t xml:space="preserve">U beschrijft uw architectuur als tekst (een domeinspecifieke taal, de Structurizr DSL), en de diagrammen — context, container, component, en indien gewenst code — worden daaruit </w:t>
      </w:r>
      <w:r>
        <w:rPr>
          <w:b/>
          <w:bCs/>
          <w:i w:val="false"/>
          <w:iCs w:val="false"/>
          <w:color w:val="1F2937"/>
          <w:sz w:val="22"/>
          <w:szCs w:val="22"/>
        </w:rPr>
        <w:t xml:space="preserve">gegenereerd</w:t>
      </w:r>
      <w:r>
        <w:rPr>
          <w:b w:val="false"/>
          <w:bCs w:val="false"/>
          <w:i w:val="false"/>
          <w:iCs w:val="false"/>
          <w:color w:val="1F2937"/>
          <w:sz w:val="22"/>
          <w:szCs w:val="22"/>
        </w:rPr>
        <w:t xml:space="preserve">. Dat sluit rechtstreeks aan bij het onderscheid uit deel 7 tussen wat u schrijft en wat u genereert: de DSL-tekst is wat u schrijft en onderhoudt; de diagrammen zijn afgeleiden.</w:t>
      </w:r>
    </w:p>
    <w:p>
      <w:pPr>
        <w:spacing w:after="160" w:line="276"/>
      </w:pPr>
      <w:r>
        <w:rPr>
          <w:b/>
          <w:bCs/>
          <w:color w:val="1F2937"/>
          <w:sz w:val="22"/>
          <w:szCs w:val="22"/>
        </w:rPr>
        <w:t xml:space="preserve">Het tweede voordeel is dat de tekst in versiebeheer past. </w:t>
      </w:r>
      <w:r>
        <w:rPr>
          <w:color w:val="1F2937"/>
          <w:sz w:val="22"/>
          <w:szCs w:val="22"/>
        </w:rPr>
        <w:t xml:space="preserve">Een wijziging aan de architectuur wordt een wijziging aan een tekstbestand, beoordeelbaar in dezelfde pull request als de code die de wijziging doorvoert. Dat is de architectuurtoets uit deel 15 in zijn meest letterlijke vorm: de diagrammen kunnen worden meegenomen in de uitrolstraat, en een diagram dat niet meer overeenkomt met de daadwerkelijke koppelvlakken, kan in theorie zelfs geautomatiseerd worden gesignaleerd.</w:t>
      </w:r>
    </w:p>
    <w:p>
      <w:pPr>
        <w:spacing w:after="160" w:line="276"/>
      </w:pPr>
      <w:r>
        <w:rPr>
          <w:b/>
          <w:bCs/>
          <w:color w:val="1F2937"/>
          <w:sz w:val="22"/>
          <w:szCs w:val="22"/>
        </w:rPr>
        <w:t xml:space="preserve">Wat Structurizr niet is: </w:t>
      </w:r>
      <w:r>
        <w:rPr>
          <w:color w:val="1F2937"/>
          <w:sz w:val="22"/>
          <w:szCs w:val="22"/>
        </w:rPr>
        <w:t xml:space="preserve">een vervanging voor het denkwerk. Zij tekent wat u haar vertelt; zij bepaalt niet of uw modulegrenzen goed liggen of of uw distributiekeuze verdedigbaar is. Dat blijft het werk uit deel 1 tot en met 21.</w:t>
      </w:r>
    </w:p>
    <w:p>
      <w:pPr>
        <w:pStyle w:val="Heading1"/>
        <w:pBdr>
          <w:bottom w:val="single" w:color="E5E7EB" w:sz="6" w:space="6"/>
        </w:pBdr>
        <w:spacing w:after="180" w:before="380"/>
      </w:pPr>
      <w:r>
        <w:rPr>
          <w:b/>
          <w:bCs/>
          <w:color w:val="1F3A5F"/>
          <w:sz w:val="30"/>
          <w:szCs w:val="30"/>
        </w:rPr>
        <w:t xml:space="preserve">De vier C4-niveaus, kort herhaald</w:t>
      </w:r>
    </w:p>
    <w:p>
      <w:pPr>
        <w:spacing w:after="160" w:line="276"/>
      </w:pPr>
      <w:r>
        <w:rPr>
          <w:color w:val="1F2937"/>
          <w:sz w:val="22"/>
          <w:szCs w:val="22"/>
        </w:rPr>
        <w:t xml:space="preserve">Uit deel 7 van niveau 1, ter herinnering — de bijlage bouwt hierop voort:</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800"/>
        <w:gridCol w:w="4200"/>
        <w:gridCol w:w="3638"/>
      </w:tblGrid>
      <w:tr>
        <w:trPr>
          <w:tblHeader/>
        </w:trPr>
        <w:tc>
          <w:tcPr>
            <w:tcW w:type="dxa" w:w="1800"/>
            <w:shd w:fill="1F3A5F" w:val="clear"/>
            <w:tcMar>
              <w:top w:type="dxa" w:w="100"/>
              <w:left w:type="dxa" w:w="120"/>
              <w:bottom w:type="dxa" w:w="100"/>
              <w:right w:type="dxa" w:w="120"/>
            </w:tcMar>
            <w:vAlign w:val="center"/>
          </w:tcPr>
          <w:p>
            <w:r>
              <w:rPr>
                <w:b/>
                <w:bCs/>
                <w:color w:val="FFFFFF"/>
                <w:sz w:val="19"/>
                <w:szCs w:val="19"/>
              </w:rPr>
              <w:t xml:space="preserve">Niveau</w:t>
            </w:r>
          </w:p>
        </w:tc>
        <w:tc>
          <w:tcPr>
            <w:tcW w:type="dxa" w:w="4200"/>
            <w:shd w:fill="1F3A5F" w:val="clear"/>
            <w:tcMar>
              <w:top w:type="dxa" w:w="100"/>
              <w:left w:type="dxa" w:w="120"/>
              <w:bottom w:type="dxa" w:w="100"/>
              <w:right w:type="dxa" w:w="120"/>
            </w:tcMar>
            <w:vAlign w:val="center"/>
          </w:tcPr>
          <w:p>
            <w:r>
              <w:rPr>
                <w:b/>
                <w:bCs/>
                <w:color w:val="FFFFFF"/>
                <w:sz w:val="19"/>
                <w:szCs w:val="19"/>
              </w:rPr>
              <w:t xml:space="preserve">Toont</w:t>
            </w:r>
          </w:p>
        </w:tc>
        <w:tc>
          <w:tcPr>
            <w:tcW w:type="dxa" w:w="3638"/>
            <w:shd w:fill="1F3A5F" w:val="clear"/>
            <w:tcMar>
              <w:top w:type="dxa" w:w="100"/>
              <w:left w:type="dxa" w:w="120"/>
              <w:bottom w:type="dxa" w:w="100"/>
              <w:right w:type="dxa" w:w="120"/>
            </w:tcMar>
            <w:vAlign w:val="center"/>
          </w:tcPr>
          <w:p>
            <w:r>
              <w:rPr>
                <w:b/>
                <w:bCs/>
                <w:color w:val="FFFFFF"/>
                <w:sz w:val="19"/>
                <w:szCs w:val="19"/>
              </w:rPr>
              <w:t xml:space="preserve">Publiek</w:t>
            </w:r>
          </w:p>
        </w:tc>
      </w:tr>
      <w:tr>
        <w:trPr>
          <w:cantSplit/>
        </w:trPr>
        <w:tc>
          <w:tcPr>
            <w:tcW w:type="dxa" w:w="1800"/>
            <w:tcMar>
              <w:top w:type="dxa" w:w="100"/>
              <w:left w:type="dxa" w:w="120"/>
              <w:bottom w:type="dxa" w:w="100"/>
              <w:right w:type="dxa" w:w="120"/>
            </w:tcMar>
            <w:vAlign w:val="center"/>
          </w:tcPr>
          <w:p>
            <w:r>
              <w:rPr>
                <w:b w:val="false"/>
                <w:bCs w:val="false"/>
                <w:color w:val="1F2937"/>
                <w:sz w:val="19"/>
                <w:szCs w:val="19"/>
              </w:rPr>
              <w:t xml:space="preserve">Context</w:t>
            </w:r>
          </w:p>
        </w:tc>
        <w:tc>
          <w:tcPr>
            <w:tcW w:type="dxa" w:w="4200"/>
            <w:tcMar>
              <w:top w:type="dxa" w:w="100"/>
              <w:left w:type="dxa" w:w="120"/>
              <w:bottom w:type="dxa" w:w="100"/>
              <w:right w:type="dxa" w:w="120"/>
            </w:tcMar>
            <w:vAlign w:val="center"/>
          </w:tcPr>
          <w:p>
            <w:r>
              <w:rPr>
                <w:b w:val="false"/>
                <w:bCs w:val="false"/>
                <w:color w:val="1F2937"/>
                <w:sz w:val="19"/>
                <w:szCs w:val="19"/>
              </w:rPr>
              <w:t xml:space="preserve">Het systeem als één blok, met de partijen eromheen</w:t>
            </w:r>
          </w:p>
        </w:tc>
        <w:tc>
          <w:tcPr>
            <w:tcW w:type="dxa" w:w="3638"/>
            <w:tcMar>
              <w:top w:type="dxa" w:w="100"/>
              <w:left w:type="dxa" w:w="120"/>
              <w:bottom w:type="dxa" w:w="100"/>
              <w:right w:type="dxa" w:w="120"/>
            </w:tcMar>
            <w:vAlign w:val="center"/>
          </w:tcPr>
          <w:p>
            <w:r>
              <w:rPr>
                <w:b w:val="false"/>
                <w:bCs w:val="false"/>
                <w:color w:val="1F2937"/>
                <w:sz w:val="19"/>
                <w:szCs w:val="19"/>
              </w:rPr>
              <w:t xml:space="preserve">Iedereen, inclusief bestuur</w:t>
            </w:r>
          </w:p>
        </w:tc>
      </w:tr>
      <w:tr>
        <w:trPr>
          <w:cantSplit/>
        </w:trPr>
        <w:tc>
          <w:tcPr>
            <w:tcW w:type="dxa" w:w="1800"/>
            <w:tcMar>
              <w:top w:type="dxa" w:w="100"/>
              <w:left w:type="dxa" w:w="120"/>
              <w:bottom w:type="dxa" w:w="100"/>
              <w:right w:type="dxa" w:w="120"/>
            </w:tcMar>
            <w:vAlign w:val="center"/>
          </w:tcPr>
          <w:p>
            <w:r>
              <w:rPr>
                <w:b w:val="false"/>
                <w:bCs w:val="false"/>
                <w:color w:val="1F2937"/>
                <w:sz w:val="19"/>
                <w:szCs w:val="19"/>
              </w:rPr>
              <w:t xml:space="preserve">Container</w:t>
            </w:r>
          </w:p>
        </w:tc>
        <w:tc>
          <w:tcPr>
            <w:tcW w:type="dxa" w:w="4200"/>
            <w:tcMar>
              <w:top w:type="dxa" w:w="100"/>
              <w:left w:type="dxa" w:w="120"/>
              <w:bottom w:type="dxa" w:w="100"/>
              <w:right w:type="dxa" w:w="120"/>
            </w:tcMar>
            <w:vAlign w:val="center"/>
          </w:tcPr>
          <w:p>
            <w:r>
              <w:rPr>
                <w:b w:val="false"/>
                <w:bCs w:val="false"/>
                <w:color w:val="1F2937"/>
                <w:sz w:val="19"/>
                <w:szCs w:val="19"/>
              </w:rPr>
              <w:t xml:space="preserve">De uitrolbare eenheden binnen het systeem en hun onderlinge verkeer</w:t>
            </w:r>
          </w:p>
        </w:tc>
        <w:tc>
          <w:tcPr>
            <w:tcW w:type="dxa" w:w="3638"/>
            <w:tcMar>
              <w:top w:type="dxa" w:w="100"/>
              <w:left w:type="dxa" w:w="120"/>
              <w:bottom w:type="dxa" w:w="100"/>
              <w:right w:type="dxa" w:w="120"/>
            </w:tcMar>
            <w:vAlign w:val="center"/>
          </w:tcPr>
          <w:p>
            <w:r>
              <w:rPr>
                <w:b w:val="false"/>
                <w:bCs w:val="false"/>
                <w:color w:val="1F2937"/>
                <w:sz w:val="19"/>
                <w:szCs w:val="19"/>
              </w:rPr>
              <w:t xml:space="preserve">Architecten, technisch leidinggevenden</w:t>
            </w:r>
          </w:p>
        </w:tc>
      </w:tr>
      <w:tr>
        <w:trPr>
          <w:cantSplit/>
        </w:trPr>
        <w:tc>
          <w:tcPr>
            <w:tcW w:type="dxa" w:w="1800"/>
            <w:tcMar>
              <w:top w:type="dxa" w:w="100"/>
              <w:left w:type="dxa" w:w="120"/>
              <w:bottom w:type="dxa" w:w="100"/>
              <w:right w:type="dxa" w:w="120"/>
            </w:tcMar>
            <w:vAlign w:val="center"/>
          </w:tcPr>
          <w:p>
            <w:r>
              <w:rPr>
                <w:b w:val="false"/>
                <w:bCs w:val="false"/>
                <w:color w:val="1F2937"/>
                <w:sz w:val="19"/>
                <w:szCs w:val="19"/>
              </w:rPr>
              <w:t xml:space="preserve">Component</w:t>
            </w:r>
          </w:p>
        </w:tc>
        <w:tc>
          <w:tcPr>
            <w:tcW w:type="dxa" w:w="4200"/>
            <w:tcMar>
              <w:top w:type="dxa" w:w="100"/>
              <w:left w:type="dxa" w:w="120"/>
              <w:bottom w:type="dxa" w:w="100"/>
              <w:right w:type="dxa" w:w="120"/>
            </w:tcMar>
            <w:vAlign w:val="center"/>
          </w:tcPr>
          <w:p>
            <w:r>
              <w:rPr>
                <w:b w:val="false"/>
                <w:bCs w:val="false"/>
                <w:color w:val="1F2937"/>
                <w:sz w:val="19"/>
                <w:szCs w:val="19"/>
              </w:rPr>
              <w:t xml:space="preserve">De indeling binnen één container</w:t>
            </w:r>
          </w:p>
        </w:tc>
        <w:tc>
          <w:tcPr>
            <w:tcW w:type="dxa" w:w="3638"/>
            <w:tcMar>
              <w:top w:type="dxa" w:w="100"/>
              <w:left w:type="dxa" w:w="120"/>
              <w:bottom w:type="dxa" w:w="100"/>
              <w:right w:type="dxa" w:w="120"/>
            </w:tcMar>
            <w:vAlign w:val="center"/>
          </w:tcPr>
          <w:p>
            <w:r>
              <w:rPr>
                <w:b w:val="false"/>
                <w:bCs w:val="false"/>
                <w:color w:val="1F2937"/>
                <w:sz w:val="19"/>
                <w:szCs w:val="19"/>
              </w:rPr>
              <w:t xml:space="preserve">Ontwikkelaars aan die container</w:t>
            </w:r>
          </w:p>
        </w:tc>
      </w:tr>
      <w:tr>
        <w:trPr>
          <w:cantSplit/>
        </w:trPr>
        <w:tc>
          <w:tcPr>
            <w:tcW w:type="dxa" w:w="1800"/>
            <w:tcMar>
              <w:top w:type="dxa" w:w="100"/>
              <w:left w:type="dxa" w:w="120"/>
              <w:bottom w:type="dxa" w:w="100"/>
              <w:right w:type="dxa" w:w="120"/>
            </w:tcMar>
            <w:vAlign w:val="center"/>
          </w:tcPr>
          <w:p>
            <w:r>
              <w:rPr>
                <w:b w:val="false"/>
                <w:bCs w:val="false"/>
                <w:color w:val="1F2937"/>
                <w:sz w:val="19"/>
                <w:szCs w:val="19"/>
              </w:rPr>
              <w:t xml:space="preserve">Code</w:t>
            </w:r>
          </w:p>
        </w:tc>
        <w:tc>
          <w:tcPr>
            <w:tcW w:type="dxa" w:w="4200"/>
            <w:tcMar>
              <w:top w:type="dxa" w:w="100"/>
              <w:left w:type="dxa" w:w="120"/>
              <w:bottom w:type="dxa" w:w="100"/>
              <w:right w:type="dxa" w:w="120"/>
            </w:tcMar>
            <w:vAlign w:val="center"/>
          </w:tcPr>
          <w:p>
            <w:r>
              <w:rPr>
                <w:b w:val="false"/>
                <w:bCs w:val="false"/>
                <w:color w:val="1F2937"/>
                <w:sz w:val="19"/>
                <w:szCs w:val="19"/>
              </w:rPr>
              <w:t xml:space="preserve">Klassen en hun relaties</w:t>
            </w:r>
          </w:p>
        </w:tc>
        <w:tc>
          <w:tcPr>
            <w:tcW w:type="dxa" w:w="3638"/>
            <w:tcMar>
              <w:top w:type="dxa" w:w="100"/>
              <w:left w:type="dxa" w:w="120"/>
              <w:bottom w:type="dxa" w:w="100"/>
              <w:right w:type="dxa" w:w="120"/>
            </w:tcMar>
            <w:vAlign w:val="center"/>
          </w:tcPr>
          <w:p>
            <w:r>
              <w:rPr>
                <w:b w:val="false"/>
                <w:bCs w:val="false"/>
                <w:color w:val="1F2937"/>
                <w:sz w:val="19"/>
                <w:szCs w:val="19"/>
              </w:rPr>
              <w:t xml:space="preserve">Zelden gebruikt; meestal beter door de IDE gegenereerd dan handmatig getekend</w:t>
            </w:r>
          </w:p>
        </w:tc>
      </w:tr>
    </w:tbl>
    <w:p>
      <w:pPr>
        <w:spacing w:after="300"/>
      </w:pPr>
    </w:p>
    <w:p>
      <w:pPr>
        <w:spacing w:after="160" w:line="276"/>
      </w:pPr>
      <w:r>
        <w:rPr>
          <w:b/>
          <w:bCs/>
          <w:color w:val="1F2937"/>
          <w:sz w:val="22"/>
          <w:szCs w:val="22"/>
        </w:rPr>
        <w:t xml:space="preserve">De regel uit deel 7 blijft gelden: </w:t>
      </w:r>
      <w:r>
        <w:rPr>
          <w:color w:val="1F2937"/>
          <w:sz w:val="22"/>
          <w:szCs w:val="22"/>
        </w:rPr>
        <w:t xml:space="preserve">het containerniveau is het niveau waarop een distributiekeuze zichtbaar wordt, en het is daarom het niveau waarop de meeste aandacht besteed moet worden. Code-niveau diagrammen worden in de praktijk zelden onderhouden en zijn meestal geen goede investering.</w:t>
      </w:r>
    </w:p>
    <w:p>
      <w:pPr>
        <w:pStyle w:val="Heading1"/>
        <w:pBdr>
          <w:bottom w:val="single" w:color="E5E7EB" w:sz="6" w:space="6"/>
        </w:pBdr>
        <w:spacing w:after="180" w:before="380"/>
      </w:pPr>
      <w:r>
        <w:rPr>
          <w:b/>
          <w:bCs/>
          <w:color w:val="1F3A5F"/>
          <w:sz w:val="30"/>
          <w:szCs w:val="30"/>
        </w:rPr>
        <w:t xml:space="preserve">Opzet van een workspace</w:t>
      </w:r>
    </w:p>
    <w:p>
      <w:pPr>
        <w:spacing w:after="160" w:line="276"/>
      </w:pPr>
      <w:r>
        <w:rPr>
          <w:b w:val="false"/>
          <w:bCs w:val="false"/>
          <w:i w:val="false"/>
          <w:iCs w:val="false"/>
          <w:color w:val="1F2937"/>
          <w:sz w:val="22"/>
          <w:szCs w:val="22"/>
        </w:rPr>
        <w:t xml:space="preserve">Een Structurizr-model heet een </w:t>
      </w:r>
      <w:r>
        <w:rPr>
          <w:b/>
          <w:bCs/>
          <w:i w:val="false"/>
          <w:iCs w:val="false"/>
          <w:color w:val="1F2937"/>
          <w:sz w:val="22"/>
          <w:szCs w:val="22"/>
        </w:rPr>
        <w:t xml:space="preserve">workspace</w:t>
      </w:r>
      <w:r>
        <w:rPr>
          <w:b w:val="false"/>
          <w:bCs w:val="false"/>
          <w:i w:val="false"/>
          <w:iCs w:val="false"/>
          <w:color w:val="1F2937"/>
          <w:sz w:val="22"/>
          <w:szCs w:val="22"/>
        </w:rPr>
        <w:t xml:space="preserve">. Zij bestaat uit twee delen die bewust gescheiden zijn:</w:t>
      </w:r>
    </w:p>
    <w:p>
      <w:pPr>
        <w:spacing w:after="160" w:line="276"/>
      </w:pPr>
      <w:r>
        <w:rPr>
          <w:b/>
          <w:bCs/>
          <w:color w:val="1F2937"/>
          <w:sz w:val="22"/>
          <w:szCs w:val="22"/>
        </w:rPr>
        <w:t xml:space="preserve">Het model — </w:t>
      </w:r>
      <w:r>
        <w:rPr>
          <w:color w:val="1F2937"/>
          <w:sz w:val="22"/>
          <w:szCs w:val="22"/>
        </w:rPr>
        <w:t xml:space="preserve">de elementen (personen, softwaresystemen, containers, componenten) en hun relaties. Dit is de architectuur zelf.</w:t>
      </w:r>
    </w:p>
    <w:p>
      <w:pPr>
        <w:spacing w:after="160" w:line="276"/>
      </w:pPr>
      <w:r>
        <w:rPr>
          <w:b/>
          <w:bCs/>
          <w:color w:val="1F2937"/>
          <w:sz w:val="22"/>
          <w:szCs w:val="22"/>
        </w:rPr>
        <w:t xml:space="preserve">De views — </w:t>
      </w:r>
      <w:r>
        <w:rPr>
          <w:color w:val="1F2937"/>
          <w:sz w:val="22"/>
          <w:szCs w:val="22"/>
        </w:rPr>
        <w:t xml:space="preserve">welke elementen op welk diagram getoond worden, en hoe. Hetzelfde model kan meerdere views opleveren: een contextdiagram voor de stuurgroep, een containerdiagram voor het ontwikkelteam, een gefilterd containerdiagram dat alleen de conversiedienst en haar directe buren toont voor een specifiek gesprek.</w:t>
      </w:r>
    </w:p>
    <w:p>
      <w:pPr>
        <w:spacing w:after="160" w:line="276"/>
      </w:pPr>
      <w:r>
        <w:rPr>
          <w:b/>
          <w:bCs/>
          <w:color w:val="1F2937"/>
          <w:sz w:val="22"/>
          <w:szCs w:val="22"/>
        </w:rPr>
        <w:t xml:space="preserve">Dat onderscheid is de kern van waarom deze tool goed samenwerkt met deel 19 van deze cursus. </w:t>
      </w:r>
      <w:r>
        <w:rPr>
          <w:color w:val="1F2937"/>
          <w:sz w:val="22"/>
          <w:szCs w:val="22"/>
        </w:rPr>
        <w:t xml:space="preserve">Eén model, meerdere gerichte weergaven per publiek — precies het principe "het verhaal verschilt, de feiten niet."</w:t>
      </w:r>
    </w:p>
    <w:p>
      <w:pPr>
        <w:pStyle w:val="Heading1"/>
        <w:pBdr>
          <w:bottom w:val="single" w:color="E5E7EB" w:sz="6" w:space="6"/>
        </w:pBdr>
        <w:spacing w:after="180" w:before="380"/>
      </w:pPr>
      <w:r>
        <w:rPr>
          <w:b/>
          <w:bCs/>
          <w:color w:val="1F3A5F"/>
          <w:sz w:val="30"/>
          <w:szCs w:val="30"/>
        </w:rPr>
        <w:t xml:space="preserve">De DSL: minimale opbouw</w:t>
      </w:r>
    </w:p>
    <w:p>
      <w:pPr>
        <w:spacing w:after="160" w:line="276"/>
      </w:pPr>
      <w:r>
        <w:rPr>
          <w:color w:val="1F2937"/>
          <w:sz w:val="22"/>
          <w:szCs w:val="22"/>
        </w:rPr>
        <w:t xml:space="preserve">Onderstaand een vereenvoudigd, geannoteerd voorbeeld op basis van Mutatie 2.0 zoals die er na deel 13 van niveau 2 uitziet (na de afsplitsing van de conversiedienst). Dit is illustratief — de exacte syntaxis kan wijzigen; raadpleeg de actuele taalreferentie op structurizr.com.</w:t>
      </w:r>
    </w:p>
    <w:tbl>
      <w:tblPr>
        <w:tblW w:type="dxa" w:w="10238"/>
        <w:tblInd w:type="dxa" w:w="-300"/>
        <w:tblBorders>
          <w:top w:val="single" w:color="E5E7EB" w:sz="2"/>
          <w:left w:val="single" w:color="E5E7EB" w:sz="2"/>
          <w:bottom w:val="single" w:color="E5E7EB" w:sz="2"/>
          <w:right w:val="single" w:color="E5E7EB" w:sz="2"/>
          <w:insideH w:val="none" w:color="FFFFFF" w:sz="0"/>
          <w:insideV w:val="none" w:color="FFFFFF" w:sz="0"/>
        </w:tblBorders>
      </w:tblPr>
      <w:tblGrid>
        <w:gridCol w:w="100"/>
      </w:tblGrid>
      <w:tr>
        <w:tc>
          <w:tcPr>
            <w:shd w:fill="F3F4F6" w:val="clear"/>
            <w:tcMar>
              <w:top w:type="dxa" w:w="160"/>
              <w:left w:type="dxa" w:w="100"/>
              <w:bottom w:type="dxa" w:w="160"/>
              <w:right w:type="dxa" w:w="100"/>
            </w:tcMar>
          </w:tcPr>
          <w:p>
            <w:pPr>
              <w:spacing w:after="0" w:line="220"/>
            </w:pPr>
            <w:r>
              <w:rPr>
                <w:rFonts w:ascii="Consolas" w:cs="Consolas" w:eastAsia="Consolas" w:hAnsi="Consolas"/>
                <w:color w:val="1F2937"/>
                <w:sz w:val="12"/>
                <w:szCs w:val="12"/>
              </w:rPr>
              <w:t xml:space="preserve">workspace "Mutatieplatform Meridiaan" "Architectuurmodel na de afsplitsing van de conversiedienst" {</w:t>
            </w:r>
          </w:p>
          <w:p>
            <w:pPr>
              <w:spacing w:after="0" w:line="220"/>
            </w:pPr>
            <w:r>
              <w:rPr>
                <w:rFonts w:ascii="Consolas" w:cs="Consolas" w:eastAsia="Consolas" w:hAnsi="Consolas"/>
                <w:color w:val="1F2937"/>
                <w:sz w:val="12"/>
                <w:szCs w:val="12"/>
              </w:rPr>
              <w:t xml:space="preserve"> </w:t>
            </w:r>
          </w:p>
          <w:p>
            <w:pPr>
              <w:spacing w:after="0" w:line="220"/>
            </w:pPr>
            <w:r>
              <w:rPr>
                <w:rFonts w:ascii="Consolas" w:cs="Consolas" w:eastAsia="Consolas" w:hAnsi="Consolas"/>
                <w:color w:val="1F2937"/>
                <w:sz w:val="12"/>
                <w:szCs w:val="12"/>
              </w:rPr>
              <w:t xml:space="preserve">    model {</w:t>
            </w:r>
          </w:p>
          <w:p>
            <w:pPr>
              <w:spacing w:after="0" w:line="220"/>
            </w:pPr>
            <w:r>
              <w:rPr>
                <w:rFonts w:ascii="Consolas" w:cs="Consolas" w:eastAsia="Consolas" w:hAnsi="Consolas"/>
                <w:color w:val="1F2937"/>
                <w:sz w:val="12"/>
                <w:szCs w:val="12"/>
              </w:rPr>
              <w:t xml:space="preserve">        deelnemer = person "Deelnemer" "Doet mutaties via het portaal"</w:t>
            </w:r>
          </w:p>
          <w:p>
            <w:pPr>
              <w:spacing w:after="0" w:line="220"/>
            </w:pPr>
            <w:r>
              <w:rPr>
                <w:rFonts w:ascii="Consolas" w:cs="Consolas" w:eastAsia="Consolas" w:hAnsi="Consolas"/>
                <w:color w:val="1F2937"/>
                <w:sz w:val="12"/>
                <w:szCs w:val="12"/>
              </w:rPr>
              <w:t xml:space="preserve">        behandelaar = person "Mutatiebehandelaar" "Beoordeelt en keurt mutaties goed"</w:t>
            </w:r>
          </w:p>
          <w:p>
            <w:pPr>
              <w:spacing w:after="0" w:line="220"/>
            </w:pPr>
            <w:r>
              <w:rPr>
                <w:rFonts w:ascii="Consolas" w:cs="Consolas" w:eastAsia="Consolas" w:hAnsi="Consolas"/>
                <w:color w:val="1F2937"/>
                <w:sz w:val="12"/>
                <w:szCs w:val="12"/>
              </w:rPr>
              <w:t xml:space="preserve">        werkgever = softwareSystem "Werkgeverssysteem" "Extern, levert batches aan" "Extern"</w:t>
            </w:r>
          </w:p>
          <w:p>
            <w:pPr>
              <w:spacing w:after="0" w:line="220"/>
            </w:pPr>
            <w:r>
              <w:rPr>
                <w:rFonts w:ascii="Consolas" w:cs="Consolas" w:eastAsia="Consolas" w:hAnsi="Consolas"/>
                <w:color w:val="1F2937"/>
                <w:sz w:val="12"/>
                <w:szCs w:val="12"/>
              </w:rPr>
              <w:t xml:space="preserve">        kernadministratie = softwareSystem "Kernadministratie" "Extern, bron van rechten en bedragen" "Extern"</w:t>
            </w:r>
          </w:p>
          <w:p>
            <w:pPr>
              <w:spacing w:after="0" w:line="220"/>
            </w:pPr>
            <w:r>
              <w:rPr>
                <w:rFonts w:ascii="Consolas" w:cs="Consolas" w:eastAsia="Consolas" w:hAnsi="Consolas"/>
                <w:color w:val="1F2937"/>
                <w:sz w:val="12"/>
                <w:szCs w:val="12"/>
              </w:rPr>
              <w:t xml:space="preserve"> </w:t>
            </w:r>
          </w:p>
          <w:p>
            <w:pPr>
              <w:spacing w:after="0" w:line="220"/>
            </w:pPr>
            <w:r>
              <w:rPr>
                <w:rFonts w:ascii="Consolas" w:cs="Consolas" w:eastAsia="Consolas" w:hAnsi="Consolas"/>
                <w:color w:val="1F2937"/>
                <w:sz w:val="12"/>
                <w:szCs w:val="12"/>
              </w:rPr>
              <w:t xml:space="preserve">        mutatieplatform = softwareSystem "Mutatieplatform" "Verwerkt mutaties voor Meridiaan" {</w:t>
            </w:r>
          </w:p>
          <w:p>
            <w:pPr>
              <w:spacing w:after="0" w:line="220"/>
            </w:pPr>
            <w:r>
              <w:rPr>
                <w:rFonts w:ascii="Consolas" w:cs="Consolas" w:eastAsia="Consolas" w:hAnsi="Consolas"/>
                <w:color w:val="1F2937"/>
                <w:sz w:val="12"/>
                <w:szCs w:val="12"/>
              </w:rPr>
              <w:t xml:space="preserve">            portaal = container "Zelfbedieningsportaal" "Webapplicatie voor deelnemers" "Webtechnologie"</w:t>
            </w:r>
          </w:p>
          <w:p>
            <w:pPr>
              <w:spacing w:after="0" w:line="220"/>
            </w:pPr>
            <w:r>
              <w:rPr>
                <w:rFonts w:ascii="Consolas" w:cs="Consolas" w:eastAsia="Consolas" w:hAnsi="Consolas"/>
                <w:color w:val="1F2937"/>
                <w:sz w:val="12"/>
                <w:szCs w:val="12"/>
              </w:rPr>
              <w:t xml:space="preserve">            modulith = container "Mutatie-modulith" "Verwerkt adres-, e-mail-, scheidings- en overlijdensmutaties" "Applicatieplatform"</w:t>
            </w:r>
          </w:p>
          <w:p>
            <w:pPr>
              <w:spacing w:after="0" w:line="220"/>
            </w:pPr>
            <w:r>
              <w:rPr>
                <w:rFonts w:ascii="Consolas" w:cs="Consolas" w:eastAsia="Consolas" w:hAnsi="Consolas"/>
                <w:color w:val="1F2937"/>
                <w:sz w:val="12"/>
                <w:szCs w:val="12"/>
              </w:rPr>
              <w:t xml:space="preserve">            conversiedienst = container "Conversiedienst" "Verwerkt werkgeversaanlevering en fondsconversie" "Applicatieplatform"</w:t>
            </w:r>
          </w:p>
          <w:p>
            <w:pPr>
              <w:spacing w:after="0" w:line="220"/>
            </w:pPr>
            <w:r>
              <w:rPr>
                <w:rFonts w:ascii="Consolas" w:cs="Consolas" w:eastAsia="Consolas" w:hAnsi="Consolas"/>
                <w:color w:val="1F2937"/>
                <w:sz w:val="12"/>
                <w:szCs w:val="12"/>
              </w:rPr>
              <w:t xml:space="preserve">            gebeurtenisopslag = container "Gebeurtenisopslag" "Onveranderlijke gebeurtenissen, bron van waarheid" "Gegevensopslag"</w:t>
            </w:r>
          </w:p>
          <w:p>
            <w:pPr>
              <w:spacing w:after="0" w:line="220"/>
            </w:pPr>
            <w:r>
              <w:rPr>
                <w:rFonts w:ascii="Consolas" w:cs="Consolas" w:eastAsia="Consolas" w:hAnsi="Consolas"/>
                <w:color w:val="1F2937"/>
                <w:sz w:val="12"/>
                <w:szCs w:val="12"/>
              </w:rPr>
              <w:t xml:space="preserve">        }</w:t>
            </w:r>
          </w:p>
          <w:p>
            <w:pPr>
              <w:spacing w:after="0" w:line="220"/>
            </w:pPr>
            <w:r>
              <w:rPr>
                <w:rFonts w:ascii="Consolas" w:cs="Consolas" w:eastAsia="Consolas" w:hAnsi="Consolas"/>
                <w:color w:val="1F2937"/>
                <w:sz w:val="12"/>
                <w:szCs w:val="12"/>
              </w:rPr>
              <w:t xml:space="preserve"> </w:t>
            </w:r>
          </w:p>
          <w:p>
            <w:pPr>
              <w:spacing w:after="0" w:line="220"/>
            </w:pPr>
            <w:r>
              <w:rPr>
                <w:rFonts w:ascii="Consolas" w:cs="Consolas" w:eastAsia="Consolas" w:hAnsi="Consolas"/>
                <w:color w:val="1F2937"/>
                <w:sz w:val="12"/>
                <w:szCs w:val="12"/>
              </w:rPr>
              <w:t xml:space="preserve">        deelnemer -&gt; portaal "Dient een mutatie in"</w:t>
            </w:r>
          </w:p>
          <w:p>
            <w:pPr>
              <w:spacing w:after="0" w:line="220"/>
            </w:pPr>
            <w:r>
              <w:rPr>
                <w:rFonts w:ascii="Consolas" w:cs="Consolas" w:eastAsia="Consolas" w:hAnsi="Consolas"/>
                <w:color w:val="1F2937"/>
                <w:sz w:val="12"/>
                <w:szCs w:val="12"/>
              </w:rPr>
              <w:t xml:space="preserve">        behandelaar -&gt; modulith "Beoordeelt en keurt goed"</w:t>
            </w:r>
          </w:p>
          <w:p>
            <w:pPr>
              <w:spacing w:after="0" w:line="220"/>
            </w:pPr>
            <w:r>
              <w:rPr>
                <w:rFonts w:ascii="Consolas" w:cs="Consolas" w:eastAsia="Consolas" w:hAnsi="Consolas"/>
                <w:color w:val="1F2937"/>
                <w:sz w:val="12"/>
                <w:szCs w:val="12"/>
              </w:rPr>
              <w:t xml:space="preserve">        portaal -&gt; modulith "Geeft mutatie door"</w:t>
            </w:r>
          </w:p>
          <w:p>
            <w:pPr>
              <w:spacing w:after="0" w:line="220"/>
            </w:pPr>
            <w:r>
              <w:rPr>
                <w:rFonts w:ascii="Consolas" w:cs="Consolas" w:eastAsia="Consolas" w:hAnsi="Consolas"/>
                <w:color w:val="1F2937"/>
                <w:sz w:val="12"/>
                <w:szCs w:val="12"/>
              </w:rPr>
              <w:t xml:space="preserve">        modulith -&gt; gebeurtenisopslag "Schrijft gebeurtenissen"</w:t>
            </w:r>
          </w:p>
          <w:p>
            <w:pPr>
              <w:spacing w:after="0" w:line="220"/>
            </w:pPr>
            <w:r>
              <w:rPr>
                <w:rFonts w:ascii="Consolas" w:cs="Consolas" w:eastAsia="Consolas" w:hAnsi="Consolas"/>
                <w:color w:val="1F2937"/>
                <w:sz w:val="12"/>
                <w:szCs w:val="12"/>
              </w:rPr>
              <w:t xml:space="preserve">        conversiedienst -&gt; gebeurtenisopslag "Schrijft gebeurtenissen"</w:t>
            </w:r>
          </w:p>
          <w:p>
            <w:pPr>
              <w:spacing w:after="0" w:line="220"/>
            </w:pPr>
            <w:r>
              <w:rPr>
                <w:rFonts w:ascii="Consolas" w:cs="Consolas" w:eastAsia="Consolas" w:hAnsi="Consolas"/>
                <w:color w:val="1F2937"/>
                <w:sz w:val="12"/>
                <w:szCs w:val="12"/>
              </w:rPr>
              <w:t xml:space="preserve">        werkgever -&gt; conversiedienst "Levert batch aan"</w:t>
            </w:r>
          </w:p>
          <w:p>
            <w:pPr>
              <w:spacing w:after="0" w:line="220"/>
            </w:pPr>
            <w:r>
              <w:rPr>
                <w:rFonts w:ascii="Consolas" w:cs="Consolas" w:eastAsia="Consolas" w:hAnsi="Consolas"/>
                <w:color w:val="1F2937"/>
                <w:sz w:val="12"/>
                <w:szCs w:val="12"/>
              </w:rPr>
              <w:t xml:space="preserve">        modulith -&gt; kernadministratie "Geeft door (asynchroon, via outbox)"</w:t>
            </w:r>
          </w:p>
          <w:p>
            <w:pPr>
              <w:spacing w:after="0" w:line="220"/>
            </w:pPr>
            <w:r>
              <w:rPr>
                <w:rFonts w:ascii="Consolas" w:cs="Consolas" w:eastAsia="Consolas" w:hAnsi="Consolas"/>
                <w:color w:val="1F2937"/>
                <w:sz w:val="12"/>
                <w:szCs w:val="12"/>
              </w:rPr>
              <w:t xml:space="preserve">        conversiedienst -&gt; kernadministratie "Geeft door (asynchroon)"</w:t>
            </w:r>
          </w:p>
          <w:p>
            <w:pPr>
              <w:spacing w:after="0" w:line="220"/>
            </w:pPr>
            <w:r>
              <w:rPr>
                <w:rFonts w:ascii="Consolas" w:cs="Consolas" w:eastAsia="Consolas" w:hAnsi="Consolas"/>
                <w:color w:val="1F2937"/>
                <w:sz w:val="12"/>
                <w:szCs w:val="12"/>
              </w:rPr>
              <w:t xml:space="preserve">    }</w:t>
            </w:r>
          </w:p>
          <w:p>
            <w:pPr>
              <w:spacing w:after="0" w:line="220"/>
            </w:pPr>
            <w:r>
              <w:rPr>
                <w:rFonts w:ascii="Consolas" w:cs="Consolas" w:eastAsia="Consolas" w:hAnsi="Consolas"/>
                <w:color w:val="1F2937"/>
                <w:sz w:val="12"/>
                <w:szCs w:val="12"/>
              </w:rPr>
              <w:t xml:space="preserve"> </w:t>
            </w:r>
          </w:p>
          <w:p>
            <w:pPr>
              <w:spacing w:after="0" w:line="220"/>
            </w:pPr>
            <w:r>
              <w:rPr>
                <w:rFonts w:ascii="Consolas" w:cs="Consolas" w:eastAsia="Consolas" w:hAnsi="Consolas"/>
                <w:color w:val="1F2937"/>
                <w:sz w:val="12"/>
                <w:szCs w:val="12"/>
              </w:rPr>
              <w:t xml:space="preserve">    views {</w:t>
            </w:r>
          </w:p>
          <w:p>
            <w:pPr>
              <w:spacing w:after="0" w:line="220"/>
            </w:pPr>
            <w:r>
              <w:rPr>
                <w:rFonts w:ascii="Consolas" w:cs="Consolas" w:eastAsia="Consolas" w:hAnsi="Consolas"/>
                <w:color w:val="1F2937"/>
                <w:sz w:val="12"/>
                <w:szCs w:val="12"/>
              </w:rPr>
              <w:t xml:space="preserve">        systemContext mutatieplatform "Context" {</w:t>
            </w:r>
          </w:p>
          <w:p>
            <w:pPr>
              <w:spacing w:after="0" w:line="220"/>
            </w:pPr>
            <w:r>
              <w:rPr>
                <w:rFonts w:ascii="Consolas" w:cs="Consolas" w:eastAsia="Consolas" w:hAnsi="Consolas"/>
                <w:color w:val="1F2937"/>
                <w:sz w:val="12"/>
                <w:szCs w:val="12"/>
              </w:rPr>
              <w:t xml:space="preserve">            include *</w:t>
            </w:r>
          </w:p>
          <w:p>
            <w:pPr>
              <w:spacing w:after="0" w:line="220"/>
            </w:pPr>
            <w:r>
              <w:rPr>
                <w:rFonts w:ascii="Consolas" w:cs="Consolas" w:eastAsia="Consolas" w:hAnsi="Consolas"/>
                <w:color w:val="1F2937"/>
                <w:sz w:val="12"/>
                <w:szCs w:val="12"/>
              </w:rPr>
              <w:t xml:space="preserve">            autoLayout</w:t>
            </w:r>
          </w:p>
          <w:p>
            <w:pPr>
              <w:spacing w:after="0" w:line="220"/>
            </w:pPr>
            <w:r>
              <w:rPr>
                <w:rFonts w:ascii="Consolas" w:cs="Consolas" w:eastAsia="Consolas" w:hAnsi="Consolas"/>
                <w:color w:val="1F2937"/>
                <w:sz w:val="12"/>
                <w:szCs w:val="12"/>
              </w:rPr>
              <w:t xml:space="preserve">        }</w:t>
            </w:r>
          </w:p>
          <w:p>
            <w:pPr>
              <w:spacing w:after="0" w:line="220"/>
            </w:pPr>
            <w:r>
              <w:rPr>
                <w:rFonts w:ascii="Consolas" w:cs="Consolas" w:eastAsia="Consolas" w:hAnsi="Consolas"/>
                <w:color w:val="1F2937"/>
                <w:sz w:val="12"/>
                <w:szCs w:val="12"/>
              </w:rPr>
              <w:t xml:space="preserve"> </w:t>
            </w:r>
          </w:p>
          <w:p>
            <w:pPr>
              <w:spacing w:after="0" w:line="220"/>
            </w:pPr>
            <w:r>
              <w:rPr>
                <w:rFonts w:ascii="Consolas" w:cs="Consolas" w:eastAsia="Consolas" w:hAnsi="Consolas"/>
                <w:color w:val="1F2937"/>
                <w:sz w:val="12"/>
                <w:szCs w:val="12"/>
              </w:rPr>
              <w:t xml:space="preserve">        container mutatieplatform "Containers" {</w:t>
            </w:r>
          </w:p>
          <w:p>
            <w:pPr>
              <w:spacing w:after="0" w:line="220"/>
            </w:pPr>
            <w:r>
              <w:rPr>
                <w:rFonts w:ascii="Consolas" w:cs="Consolas" w:eastAsia="Consolas" w:hAnsi="Consolas"/>
                <w:color w:val="1F2937"/>
                <w:sz w:val="12"/>
                <w:szCs w:val="12"/>
              </w:rPr>
              <w:t xml:space="preserve">            include *</w:t>
            </w:r>
          </w:p>
          <w:p>
            <w:pPr>
              <w:spacing w:after="0" w:line="220"/>
            </w:pPr>
            <w:r>
              <w:rPr>
                <w:rFonts w:ascii="Consolas" w:cs="Consolas" w:eastAsia="Consolas" w:hAnsi="Consolas"/>
                <w:color w:val="1F2937"/>
                <w:sz w:val="12"/>
                <w:szCs w:val="12"/>
              </w:rPr>
              <w:t xml:space="preserve">            autoLayout</w:t>
            </w:r>
          </w:p>
          <w:p>
            <w:pPr>
              <w:spacing w:after="0" w:line="220"/>
            </w:pPr>
            <w:r>
              <w:rPr>
                <w:rFonts w:ascii="Consolas" w:cs="Consolas" w:eastAsia="Consolas" w:hAnsi="Consolas"/>
                <w:color w:val="1F2937"/>
                <w:sz w:val="12"/>
                <w:szCs w:val="12"/>
              </w:rPr>
              <w:t xml:space="preserve">        }</w:t>
            </w:r>
          </w:p>
          <w:p>
            <w:pPr>
              <w:spacing w:after="0" w:line="220"/>
            </w:pPr>
            <w:r>
              <w:rPr>
                <w:rFonts w:ascii="Consolas" w:cs="Consolas" w:eastAsia="Consolas" w:hAnsi="Consolas"/>
                <w:color w:val="1F2937"/>
                <w:sz w:val="12"/>
                <w:szCs w:val="12"/>
              </w:rPr>
              <w:t xml:space="preserve"> </w:t>
            </w:r>
          </w:p>
          <w:p>
            <w:pPr>
              <w:spacing w:after="0" w:line="220"/>
            </w:pPr>
            <w:r>
              <w:rPr>
                <w:rFonts w:ascii="Consolas" w:cs="Consolas" w:eastAsia="Consolas" w:hAnsi="Consolas"/>
                <w:color w:val="1F2937"/>
                <w:sz w:val="12"/>
                <w:szCs w:val="12"/>
              </w:rPr>
              <w:t xml:space="preserve">        styles {</w:t>
            </w:r>
          </w:p>
          <w:p>
            <w:pPr>
              <w:spacing w:after="0" w:line="220"/>
            </w:pPr>
            <w:r>
              <w:rPr>
                <w:rFonts w:ascii="Consolas" w:cs="Consolas" w:eastAsia="Consolas" w:hAnsi="Consolas"/>
                <w:color w:val="1F2937"/>
                <w:sz w:val="12"/>
                <w:szCs w:val="12"/>
              </w:rPr>
              <w:t xml:space="preserve">            element "Extern" {</w:t>
            </w:r>
          </w:p>
          <w:p>
            <w:pPr>
              <w:spacing w:after="0" w:line="220"/>
            </w:pPr>
            <w:r>
              <w:rPr>
                <w:rFonts w:ascii="Consolas" w:cs="Consolas" w:eastAsia="Consolas" w:hAnsi="Consolas"/>
                <w:color w:val="1F2937"/>
                <w:sz w:val="12"/>
                <w:szCs w:val="12"/>
              </w:rPr>
              <w:t xml:space="preserve">                background #999999</w:t>
            </w:r>
          </w:p>
          <w:p>
            <w:pPr>
              <w:spacing w:after="0" w:line="220"/>
            </w:pPr>
            <w:r>
              <w:rPr>
                <w:rFonts w:ascii="Consolas" w:cs="Consolas" w:eastAsia="Consolas" w:hAnsi="Consolas"/>
                <w:color w:val="1F2937"/>
                <w:sz w:val="12"/>
                <w:szCs w:val="12"/>
              </w:rPr>
              <w:t xml:space="preserve">                color #ffffff</w:t>
            </w:r>
          </w:p>
          <w:p>
            <w:pPr>
              <w:spacing w:after="0" w:line="220"/>
            </w:pPr>
            <w:r>
              <w:rPr>
                <w:rFonts w:ascii="Consolas" w:cs="Consolas" w:eastAsia="Consolas" w:hAnsi="Consolas"/>
                <w:color w:val="1F2937"/>
                <w:sz w:val="12"/>
                <w:szCs w:val="12"/>
              </w:rPr>
              <w:t xml:space="preserve">            }</w:t>
            </w:r>
          </w:p>
          <w:p>
            <w:pPr>
              <w:spacing w:after="0" w:line="220"/>
            </w:pPr>
            <w:r>
              <w:rPr>
                <w:rFonts w:ascii="Consolas" w:cs="Consolas" w:eastAsia="Consolas" w:hAnsi="Consolas"/>
                <w:color w:val="1F2937"/>
                <w:sz w:val="12"/>
                <w:szCs w:val="12"/>
              </w:rPr>
              <w:t xml:space="preserve">            element "Gegevensopslag" {</w:t>
            </w:r>
          </w:p>
          <w:p>
            <w:pPr>
              <w:spacing w:after="0" w:line="220"/>
            </w:pPr>
            <w:r>
              <w:rPr>
                <w:rFonts w:ascii="Consolas" w:cs="Consolas" w:eastAsia="Consolas" w:hAnsi="Consolas"/>
                <w:color w:val="1F2937"/>
                <w:sz w:val="12"/>
                <w:szCs w:val="12"/>
              </w:rPr>
              <w:t xml:space="preserve">                shape Cylinder</w:t>
            </w:r>
          </w:p>
          <w:p>
            <w:pPr>
              <w:spacing w:after="0" w:line="220"/>
            </w:pPr>
            <w:r>
              <w:rPr>
                <w:rFonts w:ascii="Consolas" w:cs="Consolas" w:eastAsia="Consolas" w:hAnsi="Consolas"/>
                <w:color w:val="1F2937"/>
                <w:sz w:val="12"/>
                <w:szCs w:val="12"/>
              </w:rPr>
              <w:t xml:space="preserve">            }</w:t>
            </w:r>
          </w:p>
          <w:p>
            <w:pPr>
              <w:spacing w:after="0" w:line="220"/>
            </w:pPr>
            <w:r>
              <w:rPr>
                <w:rFonts w:ascii="Consolas" w:cs="Consolas" w:eastAsia="Consolas" w:hAnsi="Consolas"/>
                <w:color w:val="1F2937"/>
                <w:sz w:val="12"/>
                <w:szCs w:val="12"/>
              </w:rPr>
              <w:t xml:space="preserve">        }</w:t>
            </w:r>
          </w:p>
          <w:p>
            <w:pPr>
              <w:spacing w:after="0" w:line="220"/>
            </w:pPr>
            <w:r>
              <w:rPr>
                <w:rFonts w:ascii="Consolas" w:cs="Consolas" w:eastAsia="Consolas" w:hAnsi="Consolas"/>
                <w:color w:val="1F2937"/>
                <w:sz w:val="12"/>
                <w:szCs w:val="12"/>
              </w:rPr>
              <w:t xml:space="preserve">    }</w:t>
            </w:r>
          </w:p>
          <w:p>
            <w:pPr>
              <w:spacing w:after="0" w:line="220"/>
            </w:pPr>
            <w:r>
              <w:rPr>
                <w:rFonts w:ascii="Consolas" w:cs="Consolas" w:eastAsia="Consolas" w:hAnsi="Consolas"/>
                <w:color w:val="1F2937"/>
                <w:sz w:val="12"/>
                <w:szCs w:val="12"/>
              </w:rPr>
              <w:t xml:space="preserve"> </w:t>
            </w:r>
          </w:p>
          <w:p>
            <w:pPr>
              <w:spacing w:after="0" w:line="220"/>
            </w:pPr>
            <w:r>
              <w:rPr>
                <w:rFonts w:ascii="Consolas" w:cs="Consolas" w:eastAsia="Consolas" w:hAnsi="Consolas"/>
                <w:color w:val="1F2937"/>
                <w:sz w:val="12"/>
                <w:szCs w:val="12"/>
              </w:rPr>
              <w:t xml:space="preserve">}</w:t>
            </w:r>
          </w:p>
        </w:tc>
      </w:tr>
    </w:tbl>
    <w:p>
      <w:pPr>
        <w:spacing w:after="300" w:before="80"/>
        <w:jc w:val="center"/>
      </w:pPr>
      <w:r>
        <w:rPr>
          <w:i/>
          <w:iCs/>
          <w:color w:val="6B7280"/>
          <w:sz w:val="18"/>
          <w:szCs w:val="18"/>
        </w:rPr>
        <w:t xml:space="preserve">Structurizr DSL — vereenvoudigd voorbeeld op basis van Mutatie 2.0 (Mutatieplatform Meridiaan)</w:t>
      </w:r>
    </w:p>
    <w:p>
      <w:pPr>
        <w:spacing w:after="160" w:line="276"/>
      </w:pPr>
      <w:r>
        <w:rPr>
          <w:b/>
          <w:bCs/>
          <w:color w:val="1F2937"/>
          <w:sz w:val="22"/>
          <w:szCs w:val="22"/>
        </w:rPr>
        <w:t xml:space="preserve">Wat hierin de architectuurkeuzes uit de cursus rechtstreeks weerspiegelt:</w:t>
      </w:r>
    </w:p>
    <w:p>
      <w:pPr>
        <w:pStyle w:val="ListParagraph"/>
        <w:numPr>
          <w:ilvl w:val="0"/>
          <w:numId w:val="2"/>
        </w:numPr>
        <w:spacing w:after="100"/>
      </w:pPr>
      <w:r>
        <w:rPr>
          <w:b/>
          <w:bCs/>
          <w:color w:val="1F2937"/>
          <w:sz w:val="22"/>
          <w:szCs w:val="22"/>
        </w:rPr>
        <w:t xml:space="preserve">De asynchrone doorgifte naar de kernadministratie </w:t>
      </w:r>
      <w:r>
        <w:rPr>
          <w:color w:val="1F2937"/>
          <w:sz w:val="22"/>
          <w:szCs w:val="22"/>
        </w:rPr>
        <w:t xml:space="preserve">(ADR-014, deel 5 van niveau 1) staat expliciet in de relatiebeschrijving — "asynchroon, via outbox" — in plaats van als een neutrale pijl. Een diagram dat niet laat zien dát iets asynchroon is, verbergt precies de beslissing die het duurst was om te nemen.</w:t>
      </w:r>
    </w:p>
    <w:p>
      <w:pPr>
        <w:pStyle w:val="ListParagraph"/>
        <w:numPr>
          <w:ilvl w:val="0"/>
          <w:numId w:val="2"/>
        </w:numPr>
        <w:spacing w:after="100"/>
      </w:pPr>
      <w:r>
        <w:rPr>
          <w:b/>
          <w:bCs/>
          <w:color w:val="1F2937"/>
          <w:sz w:val="22"/>
          <w:szCs w:val="22"/>
        </w:rPr>
        <w:t xml:space="preserve">De gebeurtenisopslag als apart container-element </w:t>
      </w:r>
      <w:r>
        <w:rPr>
          <w:color w:val="1F2937"/>
          <w:sz w:val="22"/>
          <w:szCs w:val="22"/>
        </w:rPr>
        <w:t xml:space="preserve">(deel 14) maakt zichtbaar dat zij een eigen, gedeelde voorziening is en niet verstopt zit binnen de modulith.</w:t>
      </w:r>
    </w:p>
    <w:p>
      <w:pPr>
        <w:pStyle w:val="ListParagraph"/>
        <w:numPr>
          <w:ilvl w:val="0"/>
          <w:numId w:val="2"/>
        </w:numPr>
        <w:spacing w:after="100"/>
      </w:pPr>
      <w:r>
        <w:rPr>
          <w:b/>
          <w:bCs/>
          <w:color w:val="1F2937"/>
          <w:sz w:val="22"/>
          <w:szCs w:val="22"/>
        </w:rPr>
        <w:t xml:space="preserve">De scheiding modulith/conversiedienst </w:t>
      </w:r>
      <w:r>
        <w:rPr>
          <w:color w:val="1F2937"/>
          <w:sz w:val="22"/>
          <w:szCs w:val="22"/>
        </w:rPr>
        <w:t xml:space="preserve">(deel 13) is nu zichtbaar op containerniveau — dit is precies het niveau waarop, zoals deel 7 stelt, een distributiekeuze zichtbaar wordt.</w:t>
      </w:r>
    </w:p>
    <w:p>
      <w:pPr>
        <w:pStyle w:val="Heading1"/>
        <w:pBdr>
          <w:bottom w:val="single" w:color="E5E7EB" w:sz="6" w:space="6"/>
        </w:pBdr>
        <w:spacing w:after="180" w:before="380"/>
      </w:pPr>
      <w:r>
        <w:rPr>
          <w:b/>
          <w:bCs/>
          <w:color w:val="1F3A5F"/>
          <w:sz w:val="30"/>
          <w:szCs w:val="30"/>
        </w:rPr>
        <w:t xml:space="preserve">Van model naar meerdere gerichte weergaven</w:t>
      </w:r>
    </w:p>
    <w:p>
      <w:pPr>
        <w:spacing w:after="160" w:line="276"/>
      </w:pPr>
      <w:r>
        <w:rPr>
          <w:color w:val="1F2937"/>
          <w:sz w:val="22"/>
          <w:szCs w:val="22"/>
        </w:rPr>
        <w:t xml:space="preserve">Voor de vier publieken uit deel 19 zijn vier verschillende weergaven van hetzelfde model te maken, zonder het model te veranderen:</w:t>
      </w:r>
    </w:p>
    <w:p>
      <w:pPr>
        <w:spacing w:after="160" w:line="276"/>
      </w:pPr>
      <w:r>
        <w:rPr>
          <w:b/>
          <w:bCs/>
          <w:color w:val="1F2937"/>
          <w:sz w:val="22"/>
          <w:szCs w:val="22"/>
        </w:rPr>
        <w:t xml:space="preserve">Voor het bestuur: </w:t>
      </w:r>
      <w:r>
        <w:rPr>
          <w:color w:val="1F2937"/>
          <w:sz w:val="22"/>
          <w:szCs w:val="22"/>
        </w:rPr>
        <w:t xml:space="preserve">alleen de systemContext-view, met de externe partijen en het platform als één blok. Geen containers, geen technologie-vermeldingen.</w:t>
      </w:r>
    </w:p>
    <w:p>
      <w:pPr>
        <w:spacing w:after="160" w:line="276"/>
      </w:pPr>
      <w:r>
        <w:rPr>
          <w:b/>
          <w:bCs/>
          <w:color w:val="1F2937"/>
          <w:sz w:val="22"/>
          <w:szCs w:val="22"/>
        </w:rPr>
        <w:t xml:space="preserve">Voor het bouwteam: </w:t>
      </w:r>
      <w:r>
        <w:rPr>
          <w:color w:val="1F2937"/>
          <w:sz w:val="22"/>
          <w:szCs w:val="22"/>
        </w:rPr>
        <w:t xml:space="preserve">de container-view, eventueel gefilterd tot alleen de containers die hún team raakt — met include in plaats van include * kunt u een deelverzameling tonen.</w:t>
      </w:r>
    </w:p>
    <w:p>
      <w:pPr>
        <w:spacing w:after="160" w:line="276"/>
      </w:pPr>
      <w:r>
        <w:rPr>
          <w:b/>
          <w:bCs/>
          <w:color w:val="1F2937"/>
          <w:sz w:val="22"/>
          <w:szCs w:val="22"/>
        </w:rPr>
        <w:t xml:space="preserve">Voor de toezichthouder: </w:t>
      </w:r>
      <w:r>
        <w:rPr>
          <w:color w:val="1F2937"/>
          <w:sz w:val="22"/>
          <w:szCs w:val="22"/>
        </w:rPr>
        <w:t xml:space="preserve">een view die specifiek de gegevensstroom naar en van de kernadministratie toont, met de gebeurtenisopslag prominent — dit ondersteunt het aantoonbaarheidsverhaal uit deel 14.</w:t>
      </w:r>
    </w:p>
    <w:p>
      <w:pPr>
        <w:spacing w:after="160" w:line="276"/>
      </w:pPr>
      <w:r>
        <w:rPr>
          <w:b/>
          <w:bCs/>
          <w:color w:val="1F2937"/>
          <w:sz w:val="22"/>
          <w:szCs w:val="22"/>
        </w:rPr>
        <w:t xml:space="preserve">Voor de collega-architect: </w:t>
      </w:r>
      <w:r>
        <w:rPr>
          <w:color w:val="1F2937"/>
          <w:sz w:val="22"/>
          <w:szCs w:val="22"/>
        </w:rPr>
        <w:t xml:space="preserve">de volledige container-view, eventueel aangevuld met een component-view van de conversiedienst als het gesprek daarover gaat.</w:t>
      </w:r>
    </w:p>
    <w:p>
      <w:pPr>
        <w:spacing w:after="160" w:line="276"/>
      </w:pPr>
      <w:r>
        <w:rPr>
          <w:b/>
          <w:bCs/>
          <w:color w:val="1F2937"/>
          <w:sz w:val="22"/>
          <w:szCs w:val="22"/>
        </w:rPr>
        <w:t xml:space="preserve">Dit is de praktische toepassing van paragraaf 19.3: </w:t>
      </w:r>
      <w:r>
        <w:rPr>
          <w:color w:val="1F2937"/>
          <w:sz w:val="22"/>
          <w:szCs w:val="22"/>
        </w:rPr>
        <w:t xml:space="preserve">één architectuur, vier publieken, en met een tekst-als-code-model kost het genereren van een extra gerichte weergave geen nieuwe tekenarbeid — alleen een extra views-blok.</w:t>
      </w:r>
    </w:p>
    <w:p>
      <w:pPr>
        <w:pStyle w:val="Heading1"/>
        <w:pBdr>
          <w:bottom w:val="single" w:color="E5E7EB" w:sz="6" w:space="6"/>
        </w:pBdr>
        <w:spacing w:after="180" w:before="380"/>
      </w:pPr>
      <w:r>
        <w:rPr>
          <w:b/>
          <w:bCs/>
          <w:color w:val="1F3A5F"/>
          <w:sz w:val="30"/>
          <w:szCs w:val="30"/>
        </w:rPr>
        <w:t xml:space="preserve">Structurizr in de uitrolstraat</w:t>
      </w:r>
    </w:p>
    <w:p>
      <w:pPr>
        <w:spacing w:after="160" w:line="276"/>
      </w:pPr>
      <w:r>
        <w:rPr>
          <w:color w:val="1F2937"/>
          <w:sz w:val="22"/>
          <w:szCs w:val="22"/>
        </w:rPr>
        <w:t xml:space="preserve">Uit deel 15: architectuurtoetsen horen in de uitrolstraat waar mogelijk. Voor diagrammen betekent dat twee dingen:</w:t>
      </w:r>
    </w:p>
    <w:p>
      <w:pPr>
        <w:spacing w:after="160" w:line="276"/>
      </w:pPr>
      <w:r>
        <w:rPr>
          <w:b/>
          <w:bCs/>
          <w:color w:val="1F2937"/>
          <w:sz w:val="22"/>
          <w:szCs w:val="22"/>
        </w:rPr>
        <w:t xml:space="preserve">1. Het renderen van diagrammen kan geautomatiseerd. </w:t>
      </w:r>
      <w:r>
        <w:rPr>
          <w:color w:val="1F2937"/>
          <w:sz w:val="22"/>
          <w:szCs w:val="22"/>
        </w:rPr>
        <w:t xml:space="preserve">Bij elke wijziging aan de DSL genereert de straat bijgewerkte afbeeldingen, die vervolgens in de documentatie terechtkomen — geen handmatige exportstap die wordt vergeten.</w:t>
      </w:r>
    </w:p>
    <w:p>
      <w:pPr>
        <w:spacing w:after="160" w:line="276"/>
      </w:pPr>
      <w:r>
        <w:rPr>
          <w:b/>
          <w:bCs/>
          <w:i w:val="false"/>
          <w:iCs w:val="false"/>
          <w:color w:val="1F2937"/>
          <w:sz w:val="22"/>
          <w:szCs w:val="22"/>
        </w:rPr>
        <w:t xml:space="preserve">2. Bepaalde controles zijn mogelijk, met beperkingen. </w:t>
      </w:r>
      <w:r>
        <w:rPr>
          <w:b w:val="false"/>
          <w:bCs w:val="false"/>
          <w:i w:val="false"/>
          <w:iCs w:val="false"/>
          <w:color w:val="1F2937"/>
          <w:sz w:val="22"/>
          <w:szCs w:val="22"/>
        </w:rPr>
        <w:t xml:space="preserve">Sommige tools rond Structurizr staan toe te toetsen of elementen in het model daadwerkelijk relaties hebben die in de code voorkomen, of andersom te signaleren welke code-componenten geen weerslag in het model hebben. </w:t>
      </w:r>
      <w:r>
        <w:rPr>
          <w:b/>
          <w:bCs/>
          <w:i w:val="false"/>
          <w:iCs w:val="false"/>
          <w:color w:val="1F2937"/>
          <w:sz w:val="22"/>
          <w:szCs w:val="22"/>
        </w:rPr>
        <w:t xml:space="preserve">Dit is geen vervanging voor de architectuurtoetsen uit deel 15 en 17</w:t>
      </w:r>
      <w:r>
        <w:rPr>
          <w:b w:val="false"/>
          <w:bCs w:val="false"/>
          <w:i w:val="false"/>
          <w:iCs w:val="false"/>
          <w:color w:val="1F2937"/>
          <w:sz w:val="22"/>
          <w:szCs w:val="22"/>
        </w:rPr>
        <w:t xml:space="preserve"> — die toetsen gedrag (leest een module niet in andermans schema, wordt de klok niet direct gelezen). Diagramconsistentie is een aanvullende, zwakkere waarborg: zij toont of het diagram bijgehouden is, niet of het onderliggende ontwerp klopt.</w:t>
      </w:r>
    </w:p>
    <w:p>
      <w:pPr>
        <w:spacing w:after="160" w:line="276"/>
      </w:pPr>
      <w:r>
        <w:rPr>
          <w:b/>
          <w:bCs/>
          <w:color w:val="1F2937"/>
          <w:sz w:val="22"/>
          <w:szCs w:val="22"/>
        </w:rPr>
        <w:t xml:space="preserve">De praktische aanbeveling: </w:t>
      </w:r>
      <w:r>
        <w:rPr>
          <w:color w:val="1F2937"/>
          <w:sz w:val="22"/>
          <w:szCs w:val="22"/>
        </w:rPr>
        <w:t xml:space="preserve">behandel het diagram-op-orde-houden als borgingslaag 2 (controleerbaar) naast de eigenlijke ontwerpregels op laag 1 en 2 uit deel 15 en 17 — niet als vervanging ervan.</w:t>
      </w:r>
    </w:p>
    <w:p>
      <w:pPr>
        <w:pStyle w:val="Heading1"/>
        <w:pBdr>
          <w:bottom w:val="single" w:color="E5E7EB" w:sz="6" w:space="6"/>
        </w:pBdr>
        <w:spacing w:after="180" w:before="380"/>
      </w:pPr>
      <w:r>
        <w:rPr>
          <w:b/>
          <w:bCs/>
          <w:color w:val="1F3A5F"/>
          <w:sz w:val="30"/>
          <w:szCs w:val="30"/>
        </w:rPr>
        <w:t xml:space="preserve">Wat u niet in de DSL zet</w:t>
      </w:r>
    </w:p>
    <w:p>
      <w:pPr>
        <w:spacing w:after="160" w:line="276"/>
      </w:pPr>
      <w:r>
        <w:rPr>
          <w:color w:val="1F2937"/>
          <w:sz w:val="22"/>
          <w:szCs w:val="22"/>
        </w:rPr>
        <w:t xml:space="preserve">Drie categorieën horen niet in het architectuurmodel, ook al zijn zij verleidelijk om erin op te nemen:</w:t>
      </w:r>
    </w:p>
    <w:p>
      <w:pPr>
        <w:spacing w:after="160" w:line="276"/>
      </w:pPr>
      <w:r>
        <w:rPr>
          <w:b/>
          <w:bCs/>
          <w:color w:val="1F2937"/>
          <w:sz w:val="22"/>
          <w:szCs w:val="22"/>
        </w:rPr>
        <w:t xml:space="preserve">Bedrijfsgegevens en configuratie </w:t>
      </w:r>
      <w:r>
        <w:rPr>
          <w:color w:val="1F2937"/>
          <w:sz w:val="22"/>
          <w:szCs w:val="22"/>
        </w:rPr>
        <w:t xml:space="preserve">(deel 15) — de reglementparameters, de lijst mutatiesoorten die vierogen vereisen. Het model beschrijft structuur, niet gegevens.</w:t>
      </w:r>
    </w:p>
    <w:p>
      <w:pPr>
        <w:spacing w:after="160" w:line="276"/>
      </w:pPr>
      <w:r>
        <w:rPr>
          <w:b/>
          <w:bCs/>
          <w:color w:val="1F2937"/>
          <w:sz w:val="22"/>
          <w:szCs w:val="22"/>
        </w:rPr>
        <w:t xml:space="preserve">Gedetailleerde implementatie </w:t>
      </w:r>
      <w:r>
        <w:rPr>
          <w:color w:val="1F2937"/>
          <w:sz w:val="22"/>
          <w:szCs w:val="22"/>
        </w:rPr>
        <w:t xml:space="preserve">— het codeniveau van C4 wordt zelden onderhouden en veroudert het snelst. Beter: laat de IDE dat soort diagrammen on-demand genereren wanneer iemand ze nodig heeft, in plaats van ze handmatig te onderhouden.</w:t>
      </w:r>
    </w:p>
    <w:p>
      <w:pPr>
        <w:spacing w:after="160" w:line="276"/>
      </w:pPr>
      <w:r>
        <w:rPr>
          <w:b/>
          <w:bCs/>
          <w:color w:val="1F2937"/>
          <w:sz w:val="22"/>
          <w:szCs w:val="22"/>
        </w:rPr>
        <w:t xml:space="preserve">De redenen achter een beslissing </w:t>
      </w:r>
      <w:r>
        <w:rPr>
          <w:color w:val="1F2937"/>
          <w:sz w:val="22"/>
          <w:szCs w:val="22"/>
        </w:rPr>
        <w:t xml:space="preserve">— die horen in een ADR (deel 7), niet in de DSL. De DSL toont wát er is; de ADR legt uit waaróm. Een relatie kan een korte beschrijving dragen ("asynchroon, via outbox"), maar de volledige afweging — waarom orkestratie boven choreografie, wat het kostte — hoort in het bijbehorende arc42-hoofdstuk of de ADR, met een verwijzing ernaartoe.</w:t>
      </w:r>
    </w:p>
    <w:p>
      <w:pPr>
        <w:pStyle w:val="Heading1"/>
        <w:pBdr>
          <w:bottom w:val="single" w:color="E5E7EB" w:sz="6" w:space="6"/>
        </w:pBdr>
        <w:spacing w:after="180" w:before="380"/>
      </w:pPr>
      <w:r>
        <w:rPr>
          <w:b/>
          <w:bCs/>
          <w:color w:val="1F3A5F"/>
          <w:sz w:val="30"/>
          <w:szCs w:val="30"/>
        </w:rPr>
        <w:t xml:space="preserve">Aan de slag: de praktische stappen</w:t>
      </w:r>
    </w:p>
    <w:p>
      <w:pPr>
        <w:pStyle w:val="ListParagraph"/>
        <w:numPr>
          <w:ilvl w:val="0"/>
          <w:numId w:val="3"/>
        </w:numPr>
        <w:spacing w:after="120"/>
      </w:pPr>
      <w:r>
        <w:rPr>
          <w:b/>
          <w:bCs/>
          <w:color w:val="1F2937"/>
          <w:sz w:val="22"/>
          <w:szCs w:val="22"/>
        </w:rPr>
        <w:t xml:space="preserve">Installeer een lokale weergavetool </w:t>
      </w:r>
      <w:r>
        <w:rPr>
          <w:color w:val="1F2937"/>
          <w:sz w:val="22"/>
          <w:szCs w:val="22"/>
        </w:rPr>
        <w:t xml:space="preserve">(bijvoorbeeld de lite-variant die bij het schrijven van deze cursus beschikbaar was) of gebruik een cloud-workspace — controleer de actuele opties op structurizr.com, want dit verandert.</w:t>
      </w:r>
    </w:p>
    <w:p>
      <w:pPr>
        <w:pStyle w:val="ListParagraph"/>
        <w:numPr>
          <w:ilvl w:val="0"/>
          <w:numId w:val="3"/>
        </w:numPr>
        <w:spacing w:after="120"/>
      </w:pPr>
      <w:r>
        <w:rPr>
          <w:b/>
          <w:bCs/>
          <w:color w:val="1F2937"/>
          <w:sz w:val="22"/>
          <w:szCs w:val="22"/>
        </w:rPr>
        <w:t xml:space="preserve">Begin met het contextdiagram. </w:t>
      </w:r>
      <w:r>
        <w:rPr>
          <w:color w:val="1F2937"/>
          <w:sz w:val="22"/>
          <w:szCs w:val="22"/>
        </w:rPr>
        <w:t xml:space="preserve">Dat dwingt u de grenzen van uw systeem en de externe partijen scherp te krijgen — precies de eerste vraag uit deel 1 van niveau 1.</w:t>
      </w:r>
    </w:p>
    <w:p>
      <w:pPr>
        <w:pStyle w:val="ListParagraph"/>
        <w:numPr>
          <w:ilvl w:val="0"/>
          <w:numId w:val="3"/>
        </w:numPr>
        <w:spacing w:after="120"/>
      </w:pPr>
      <w:r>
        <w:rPr>
          <w:b/>
          <w:bCs/>
          <w:color w:val="1F2937"/>
          <w:sz w:val="22"/>
          <w:szCs w:val="22"/>
        </w:rPr>
        <w:t xml:space="preserve">Voeg containers toe voor elke onafhankelijk uitrolbare eenheid </w:t>
      </w:r>
      <w:r>
        <w:rPr>
          <w:color w:val="1F2937"/>
          <w:sz w:val="22"/>
          <w:szCs w:val="22"/>
        </w:rPr>
        <w:t xml:space="preserve">— niet voor elke technische laag. Uit deel 4: gelaagdheid is een structuurpatroon, geen distributiepatroon; verwar ze niet in het model.</w:t>
      </w:r>
    </w:p>
    <w:p>
      <w:pPr>
        <w:pStyle w:val="ListParagraph"/>
        <w:numPr>
          <w:ilvl w:val="0"/>
          <w:numId w:val="3"/>
        </w:numPr>
        <w:spacing w:after="120"/>
      </w:pPr>
      <w:r>
        <w:rPr>
          <w:b/>
          <w:bCs/>
          <w:color w:val="1F2937"/>
          <w:sz w:val="22"/>
          <w:szCs w:val="22"/>
        </w:rPr>
        <w:t xml:space="preserve">Beschrijf relaties met hun aard</w:t>
      </w:r>
      <w:r>
        <w:rPr>
          <w:color w:val="1F2937"/>
          <w:sz w:val="22"/>
          <w:szCs w:val="22"/>
        </w:rPr>
        <w:t xml:space="preserve">, niet alleen hun bestaan: synchroon of asynchroon, met welk protocol indien relevant, en — waar het de moeite waard is — met een verwijzing naar de ADR die de keuze verantwoordt.</w:t>
      </w:r>
    </w:p>
    <w:p>
      <w:pPr>
        <w:pStyle w:val="ListParagraph"/>
        <w:numPr>
          <w:ilvl w:val="0"/>
          <w:numId w:val="3"/>
        </w:numPr>
        <w:spacing w:after="120"/>
      </w:pPr>
      <w:r>
        <w:rPr>
          <w:b/>
          <w:bCs/>
          <w:color w:val="1F2937"/>
          <w:sz w:val="22"/>
          <w:szCs w:val="22"/>
        </w:rPr>
        <w:t xml:space="preserve">Maak per publiek een aparte view </w:t>
      </w:r>
      <w:r>
        <w:rPr>
          <w:color w:val="1F2937"/>
          <w:sz w:val="22"/>
          <w:szCs w:val="22"/>
        </w:rPr>
        <w:t xml:space="preserve">vanaf het begin, in plaats van één druk diagram dat voor niemand precies goed is.</w:t>
      </w:r>
    </w:p>
    <w:p>
      <w:pPr>
        <w:pStyle w:val="ListParagraph"/>
        <w:numPr>
          <w:ilvl w:val="0"/>
          <w:numId w:val="3"/>
        </w:numPr>
        <w:spacing w:after="120"/>
      </w:pPr>
      <w:r>
        <w:rPr>
          <w:b/>
          <w:bCs/>
          <w:color w:val="1F2937"/>
          <w:sz w:val="22"/>
          <w:szCs w:val="22"/>
        </w:rPr>
        <w:t xml:space="preserve">Neem het model op in versiebeheer</w:t>
      </w:r>
      <w:r>
        <w:rPr>
          <w:color w:val="1F2937"/>
          <w:sz w:val="22"/>
          <w:szCs w:val="22"/>
        </w:rPr>
        <w:t xml:space="preserve">, naast de code, en overweeg het renderen in de uitrolstraat op te nemen zodra dat de moeite waard is.</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2"/>
        </w:numPr>
        <w:spacing w:after="100"/>
      </w:pPr>
      <w:r>
        <w:rPr>
          <w:color w:val="1F2937"/>
          <w:sz w:val="22"/>
          <w:szCs w:val="22"/>
        </w:rPr>
        <w:t xml:space="preserve">De officiële documentatie op structurizr.com — dit is de bindende bron voor syntaxis en actuele mogelijkheden; deze bijlage is bewust illustratief en niet uitputtend.</w:t>
      </w:r>
    </w:p>
    <w:p>
      <w:pPr>
        <w:pStyle w:val="ListParagraph"/>
        <w:numPr>
          <w:ilvl w:val="0"/>
          <w:numId w:val="2"/>
        </w:numPr>
        <w:spacing w:after="100"/>
      </w:pPr>
      <w:r>
        <w:rPr>
          <w:b w:val="false"/>
          <w:bCs w:val="false"/>
          <w:i w:val="false"/>
          <w:iCs w:val="false"/>
          <w:color w:val="1F2937"/>
          <w:sz w:val="22"/>
          <w:szCs w:val="22"/>
        </w:rPr>
        <w:t xml:space="preserve">Brown, </w:t>
      </w:r>
      <w:r>
        <w:rPr>
          <w:b w:val="false"/>
          <w:bCs w:val="false"/>
          <w:i/>
          <w:iCs/>
          <w:color w:val="1F2937"/>
          <w:sz w:val="22"/>
          <w:szCs w:val="22"/>
        </w:rPr>
        <w:t xml:space="preserve">The C4 model for visualising software architecture</w:t>
      </w:r>
      <w:r>
        <w:rPr>
          <w:b w:val="false"/>
          <w:bCs w:val="false"/>
          <w:i w:val="false"/>
          <w:iCs w:val="false"/>
          <w:color w:val="1F2937"/>
          <w:sz w:val="22"/>
          <w:szCs w:val="22"/>
        </w:rPr>
        <w:t xml:space="preserve"> — de oorspronkelijke beschrijving van de notatie, door dezelfde auteur als Structurizr.</w:t>
      </w:r>
    </w:p>
    <w:p>
      <w:pPr>
        <w:pStyle w:val="ListParagraph"/>
        <w:numPr>
          <w:ilvl w:val="0"/>
          <w:numId w:val="2"/>
        </w:numPr>
        <w:spacing w:after="100"/>
      </w:pPr>
      <w:r>
        <w:rPr>
          <w:color w:val="1F2937"/>
          <w:sz w:val="22"/>
          <w:szCs w:val="22"/>
        </w:rPr>
        <w:t xml:space="preserve">Deel 7 van niveau 1 (documentatie en arc42), deel 15 van niveau 2 (de uitrolstraat), en deel 17 (fitness functions) van deze cursus voor de onderliggende principes die deze tool ondersteunt maar niet vervangt.</w:t>
      </w:r>
    </w:p>
    <w:p>
      <w:pPr>
        <w:pBdr>
          <w:top w:val="single" w:color="E5E7EB" w:sz="4" w:space="8"/>
        </w:pBdr>
        <w:spacing w:before="400"/>
        <w:jc w:val="center"/>
      </w:pPr>
      <w:r>
        <w:rPr>
          <w:i/>
          <w:iCs/>
          <w:color w:val="6B7280"/>
          <w:sz w:val="17"/>
          <w:szCs w:val="17"/>
        </w:rPr>
        <w:t xml:space="preserve">Ductus B.V. · Cursus Softwarearchitectuur · Toolbijlage Structurizr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Toolbijlage — Structurizr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2026-08-17T19:56:51.495Z</dcterms:created>
  <dcterms:modified xsi:type="dcterms:W3CDTF">2026-08-17T19:56:51.495Z</dcterms:modified>
</cp:coreProperties>
</file>

<file path=docProps/custom.xml><?xml version="1.0" encoding="utf-8"?>
<Properties xmlns="http://schemas.openxmlformats.org/officeDocument/2006/custom-properties" xmlns:vt="http://schemas.openxmlformats.org/officeDocument/2006/docPropsVTypes"/>
</file>