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OutSystems 11 — Toolbijlage</w:t>
      </w:r>
    </w:p>
    <w:p>
      <w:pPr>
        <w:pStyle w:val="Heading2"/>
      </w:pPr>
      <w:r>
        <w:rPr>
          <w:color w:val="14213D"/>
        </w:rPr>
        <w:t>Service Studio + LifeTime</w:t>
      </w:r>
    </w:p>
    <w:p>
      <w:pPr>
        <w:spacing w:before="120" w:after="120"/>
        <w:ind w:left="340"/>
        <w:pBdr>
          <w:left w:val="single" w:sz="18" w:color="E9A13B" w:space="8"/>
        </w:pBdr>
      </w:pPr>
      <w:r>
        <w:rPr>
          <w:b/>
          <w:i/>
          <w:color w:val="14213D"/>
        </w:rPr>
        <w:t>Positionering.</w:t>
      </w:r>
      <w:r>
        <w:rPr>
          <w:i/>
          <w:color w:val="14213D"/>
        </w:rPr>
        <w:t xml:space="preserve"> Deze bijlage is, anders dan de EA-toolbijlage bij Archi, geen verwijzing naar een gekozen referentietool naast een toolneutrale methode. Service Studio en LifeTime </w:t>
      </w:r>
      <w:r>
        <w:rPr>
          <w:b/>
          <w:i/>
          <w:color w:val="14213D"/>
        </w:rPr>
        <w:t>zijn</w:t>
      </w:r>
      <w:r>
        <w:rPr>
          <w:i/>
          <w:color w:val="14213D"/>
        </w:rPr>
        <w:t xml:space="preserve"> het OutSystems 11-platform dat deze cursus leert bedienen — er is geen toolneutraal alternatief om naar te verwijzen. Wat wél geldt, net als bij Archi: OutSystems is snel-evoluerende SaaS-/productsoftware, en schermen, menupaden en zelfs productnamen veranderen tussen versies (de Architecture Dashboard heette tot voor kort anders dan nu, zie §6). Deze bijlage bundelt de klikpaden en toolverwijzingen waar de dertig delen van niveau 1 en 2 naar "Toolbijlage" verwezen, zodat de readers zelf vrij blijven van schermafbeeldingen die verouderen. </w:t>
      </w:r>
      <w:r>
        <w:rPr>
          <w:b/>
          <w:i/>
          <w:color w:val="14213D"/>
        </w:rPr>
        <w:t>Controleer bij elke afwijking het exacte menupad in de huidige documentatie op success.outsystems.com</w:t>
      </w:r>
      <w:r>
        <w:rPr>
          <w:i/>
          <w:color w:val="14213D"/>
        </w:rPr>
        <w:t xml:space="preserve"> — de begrippen uit de cursus (entity, aggregate, server action, BPT-proces) veranderen zelden, de precieze plek in het scherm soms wel. Bijgewerkt op basis van de OutSystems 11-documentatie zoals gepubliceerd op success.outsystems.com, geraadpleegd op 17 augustus 2026. Deze cursus behandelt ook ODC (OutSystems Developer Cloud); deze bijlage is bewust beperkt tot </w:t>
      </w:r>
      <w:r>
        <w:rPr>
          <w:b/>
          <w:i/>
          <w:color w:val="14213D"/>
        </w:rPr>
        <w:t>O11</w:t>
      </w:r>
      <w:r>
        <w:rPr>
          <w:i/>
          <w:color w:val="14213D"/>
        </w:rPr>
        <w:t xml:space="preserve"> (Service Studio + LifeTime) — ODC Studio en de ODC Portal verdienen een eigen bijlage omdat de tooling structureel anders is ingericht.</w:t>
      </w:r>
    </w:p>
    <w:p>
      <w:pPr>
        <w:spacing w:before="80" w:after="80"/>
        <w:pBdr>
          <w:bottom w:val="single" w:sz="6" w:color="E9A13B"/>
        </w:pBdr>
      </w:pPr>
    </w:p>
    <w:p>
      <w:pPr>
        <w:pStyle w:val="Heading2"/>
      </w:pPr>
      <w:r>
        <w:rPr>
          <w:color w:val="14213D"/>
        </w:rPr>
        <w:t>1. Service Studio installeren en toegang</w:t>
      </w:r>
    </w:p>
    <w:p>
      <w:r>
        <w:t>Service Studio is de desktop-IDE van O11, alleen beschikbaar voor Windows.</w:t>
      </w:r>
    </w:p>
    <w:p>
      <w:pPr>
        <w:pStyle w:val="ListNumber"/>
      </w:pPr>
      <w:r>
        <w:t>Download Service Studio van de OutSystems-downloadpagina — hiervoor is een OutSystems-account nodig.</w:t>
      </w:r>
    </w:p>
    <w:p>
      <w:pPr>
        <w:pStyle w:val="ListNumber"/>
      </w:pPr>
      <w:r>
        <w:t>Vereist: een door Microsoft ondersteunde Windows-editie en Microsoft .NET Framework 4.7.2 of hoger.</w:t>
      </w:r>
    </w:p>
    <w:p>
      <w:pPr>
        <w:pStyle w:val="ListNumber"/>
      </w:pPr>
      <w:r>
        <w:t>Na installatie meldt u zich aan met uw OutSystems-account, en koppelt u aan de Environment (Development) waarop Meridiaan's O11-omgeving draait — voor cursusdoeleinden is dat de door de opleider verstrekte trainingsomgeving.</w:t>
      </w:r>
    </w:p>
    <w:p>
      <w:pPr>
        <w:pStyle w:val="ListNumber"/>
      </w:pPr>
      <w:r>
        <w:t>Voor werk aan Integration Studio-extensies (deel 16, §7 van deze bijlage) is aanvullend Visual Studio nodig om de gegenereerde broncode van een extensie te bewerken.</w:t>
      </w:r>
    </w:p>
    <w:p>
      <w:r>
        <w:t>Controleer bij twijfel de actuele systeemeisen op de OutSystems-documentatiesite; deze wijzigen mee met nieuwe .NET- en Windows-releases.</w:t>
      </w:r>
    </w:p>
    <w:p>
      <w:pPr>
        <w:spacing w:before="80" w:after="80"/>
        <w:pBdr>
          <w:bottom w:val="single" w:sz="6" w:color="E9A13B"/>
        </w:pBdr>
      </w:pPr>
    </w:p>
    <w:p>
      <w:pPr>
        <w:pStyle w:val="Heading2"/>
      </w:pPr>
      <w:r>
        <w:rPr>
          <w:color w:val="14213D"/>
        </w:rPr>
        <w:t>2. Service Studio: de vier lagen van een module</w:t>
      </w:r>
    </w:p>
    <w:p>
      <w:r>
        <w:t>Een module in Service Studio is opgebouwd uit vier tabbladen/lagen, elk met een eigen verantwoordelijkheid:</w:t>
      </w:r>
    </w:p>
    <w:p>
      <w:pPr>
        <w:pStyle w:val="ListBullet"/>
      </w:pPr>
      <w:r>
        <w:rPr>
          <w:b/>
        </w:rPr>
        <w:t>Data</w:t>
      </w:r>
      <w:r>
        <w:t xml:space="preserve"> — het datamodel: entities, static entities, structures, relaties (deel 3).</w:t>
      </w:r>
    </w:p>
    <w:p>
      <w:pPr>
        <w:pStyle w:val="ListBullet"/>
      </w:pPr>
      <w:r>
        <w:rPr>
          <w:b/>
        </w:rPr>
        <w:t>Logic</w:t>
      </w:r>
      <w:r>
        <w:t xml:space="preserve"> — server actions, client actions, exception handling, rollen, integraties met externe services (deel 4, 9).</w:t>
      </w:r>
    </w:p>
    <w:p>
      <w:pPr>
        <w:pStyle w:val="ListBullet"/>
      </w:pPr>
      <w:r>
        <w:rPr>
          <w:b/>
        </w:rPr>
        <w:t>Interface</w:t>
      </w:r>
      <w:r>
        <w:t xml:space="preserve"> — schermen, blocks, styles, afbeeldingen en scripts: alles wat de eindgebruiker ziet.</w:t>
      </w:r>
    </w:p>
    <w:p>
      <w:pPr>
        <w:pStyle w:val="ListBullet"/>
      </w:pPr>
      <w:r>
        <w:rPr>
          <w:b/>
        </w:rPr>
        <w:t>Processes</w:t>
      </w:r>
      <w:r>
        <w:t xml:space="preserve"> — BPT-processen, indien de module er gebruik van maakt (deel 18, zie §8).</w:t>
      </w:r>
    </w:p>
    <w:p>
      <w:r>
        <w:t>Een nieuwe app maakt u via de startpagina van Service Studio (</w:t>
      </w:r>
      <w:r>
        <w:rPr>
          <w:b/>
        </w:rPr>
        <w:t>New Application</w:t>
      </w:r>
      <w:r>
        <w:t xml:space="preserve">); een module binnen een bestaande app voegt u toe via het contextmenu op de app in de linkerboom. Elke laag heeft een eigen boomstructuur in het linkerpaneel; het rechterpaneel toont eigenschappen van het geselecteerde element. Onder </w:t>
      </w:r>
      <w:r>
        <w:rPr>
          <w:b/>
        </w:rPr>
        <w:t>Manage Dependencies</w:t>
      </w:r>
      <w:r>
        <w:t xml:space="preserve"> voegt u referenties toe naar andere modules of extensies — dit is ook de plek waar een Integration Studio-extensie (§7) na publicatie zichtbaar wordt.</w:t>
      </w:r>
    </w:p>
    <w:p>
      <w:pPr>
        <w:spacing w:before="80" w:after="80"/>
        <w:pBdr>
          <w:bottom w:val="single" w:sz="6" w:color="E9A13B"/>
        </w:pBdr>
      </w:pPr>
    </w:p>
    <w:p>
      <w:pPr>
        <w:pStyle w:val="Heading2"/>
      </w:pPr>
      <w:r>
        <w:rPr>
          <w:color w:val="14213D"/>
        </w:rPr>
        <w:t>3. Cursusbegrip → Service Studio: niveau 1 (fundament)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Cursusbegrip (deel)</w:t>
            </w:r>
          </w:p>
        </w:tc>
        <w:tc>
          <w:tcPr>
            <w:tcW w:type="dxa" w:w="2880"/>
          </w:tcPr>
          <w:p>
            <w:r>
              <w:rPr>
                <w:b/>
              </w:rPr>
              <w:t>Laag</w:t>
            </w:r>
          </w:p>
        </w:tc>
        <w:tc>
          <w:tcPr>
            <w:tcW w:type="dxa" w:w="2880"/>
          </w:tcPr>
          <w:p>
            <w:r>
              <w:rPr>
                <w:b/>
              </w:rPr>
              <w:t>Waar te vinden</w:t>
            </w:r>
          </w:p>
        </w:tc>
      </w:tr>
      <w:tr>
        <w:tc>
          <w:tcPr>
            <w:tcW w:type="dxa" w:w="2880"/>
          </w:tcPr>
          <w:p>
            <w:r>
              <w:t xml:space="preserve">Entity, static entity, relatie (deel 3: </w:t>
            </w:r>
            <w:r>
              <w:rPr>
                <w:rFonts w:ascii="Consolas" w:hAnsi="Consolas"/>
              </w:rPr>
              <w:t>Melding</w:t>
            </w:r>
            <w:r>
              <w:t xml:space="preserve">, </w:t>
            </w:r>
            <w:r>
              <w:rPr>
                <w:rFonts w:ascii="Consolas" w:hAnsi="Consolas"/>
              </w:rPr>
              <w:t>Werkgever</w:t>
            </w:r>
            <w:r>
              <w:t xml:space="preserve">, </w:t>
            </w:r>
            <w:r>
              <w:rPr>
                <w:rFonts w:ascii="Consolas" w:hAnsi="Consolas"/>
              </w:rPr>
              <w:t>MeldingStatus</w:t>
            </w:r>
            <w:r>
              <w:t xml:space="preserve">, </w:t>
            </w:r>
            <w:r>
              <w:rPr>
                <w:rFonts w:ascii="Consolas" w:hAnsi="Consolas"/>
              </w:rPr>
              <w:t>Document</w:t>
            </w:r>
            <w:r>
              <w:t>)</w:t>
            </w:r>
          </w:p>
        </w:tc>
        <w:tc>
          <w:tcPr>
            <w:tcW w:type="dxa" w:w="2880"/>
          </w:tcPr>
          <w:p>
            <w:r>
              <w:t>Data</w:t>
            </w:r>
          </w:p>
        </w:tc>
        <w:tc>
          <w:tcPr>
            <w:tcW w:type="dxa" w:w="2880"/>
          </w:tcPr>
          <w:p>
            <w:r>
              <w:t xml:space="preserve">Data-tab → rechtermuisklik op de map </w:t>
            </w:r>
            <w:r>
              <w:rPr>
                <w:b/>
              </w:rPr>
              <w:t>Entities</w:t>
            </w:r>
            <w:r>
              <w:t xml:space="preserve"> → New Entity; dubbelklik een entity opent de </w:t>
            </w:r>
            <w:r>
              <w:rPr>
                <w:b/>
              </w:rPr>
              <w:t>Entity Editor</w:t>
            </w:r>
            <w:r>
              <w:t xml:space="preserve"> met een Attributes-tabblad (New-knop voor een nieuw attribuut)</w:t>
            </w:r>
          </w:p>
        </w:tc>
      </w:tr>
      <w:tr>
        <w:tc>
          <w:tcPr>
            <w:tcW w:type="dxa" w:w="2880"/>
          </w:tcPr>
          <w:p>
            <w:r>
              <w:t xml:space="preserve">Server action, client action (deel 4: </w:t>
            </w:r>
            <w:r>
              <w:rPr>
                <w:rFonts w:ascii="Consolas" w:hAnsi="Consolas"/>
              </w:rPr>
              <w:t>AanmaakMelding</w:t>
            </w:r>
            <w:r>
              <w:t>)</w:t>
            </w:r>
          </w:p>
        </w:tc>
        <w:tc>
          <w:tcPr>
            <w:tcW w:type="dxa" w:w="2880"/>
          </w:tcPr>
          <w:p>
            <w:r>
              <w:t>Logic</w:t>
            </w:r>
          </w:p>
        </w:tc>
        <w:tc>
          <w:tcPr>
            <w:tcW w:type="dxa" w:w="2880"/>
          </w:tcPr>
          <w:p>
            <w:r>
              <w:t xml:space="preserve">Logic-tab → rechtermuisklik op </w:t>
            </w:r>
            <w:r>
              <w:rPr>
                <w:b/>
              </w:rPr>
              <w:t>Server Actions</w:t>
            </w:r>
            <w:r>
              <w:t xml:space="preserve"> of </w:t>
            </w:r>
            <w:r>
              <w:rPr>
                <w:b/>
              </w:rPr>
              <w:t>Client Actions</w:t>
            </w:r>
            <w:r>
              <w:t xml:space="preserve"> → New; opent het flow-canvas met bouwstenen (Aggregate, If, For Each, Assign, Exception Handler) in het rechterpaneel</w:t>
            </w:r>
          </w:p>
        </w:tc>
      </w:tr>
      <w:tr>
        <w:tc>
          <w:tcPr>
            <w:tcW w:type="dxa" w:w="2880"/>
          </w:tcPr>
          <w:p>
            <w:r>
              <w:t>Exception Handler (deel 4.3)</w:t>
            </w:r>
          </w:p>
        </w:tc>
        <w:tc>
          <w:tcPr>
            <w:tcW w:type="dxa" w:w="2880"/>
          </w:tcPr>
          <w:p>
            <w:r>
              <w:t>Logic</w:t>
            </w:r>
          </w:p>
        </w:tc>
        <w:tc>
          <w:tcPr>
            <w:tcW w:type="dxa" w:w="2880"/>
          </w:tcPr>
          <w:p>
            <w:r>
              <w:t xml:space="preserve">Binnen een actie-flow: rechterpaneel → sleep </w:t>
            </w:r>
            <w:r>
              <w:rPr>
                <w:b/>
              </w:rPr>
              <w:t>Exception Handler</w:t>
            </w:r>
            <w:r>
              <w:t xml:space="preserve"> op het canvas, of rechtermuisklik op een stap → Add Exception Handler</w:t>
            </w:r>
          </w:p>
        </w:tc>
      </w:tr>
      <w:tr>
        <w:tc>
          <w:tcPr>
            <w:tcW w:type="dxa" w:w="2880"/>
          </w:tcPr>
          <w:p>
            <w:r>
              <w:t xml:space="preserve">Aggregate (deel 6: </w:t>
            </w:r>
            <w:r>
              <w:rPr>
                <w:rFonts w:ascii="Consolas" w:hAnsi="Consolas"/>
              </w:rPr>
              <w:t>MeldingOverzicht</w:t>
            </w:r>
            <w:r>
              <w:t>)</w:t>
            </w:r>
          </w:p>
        </w:tc>
        <w:tc>
          <w:tcPr>
            <w:tcW w:type="dxa" w:w="2880"/>
          </w:tcPr>
          <w:p>
            <w:r>
              <w:t>Interface of Logic</w:t>
            </w:r>
          </w:p>
        </w:tc>
        <w:tc>
          <w:tcPr>
            <w:tcW w:type="dxa" w:w="2880"/>
          </w:tcPr>
          <w:p>
            <w:r>
              <w:t xml:space="preserve">Rechtermuisklik op een Screen/Block → </w:t>
            </w:r>
            <w:r>
              <w:rPr>
                <w:b/>
              </w:rPr>
              <w:t>Fetch data from Database</w:t>
            </w:r>
            <w:r>
              <w:t xml:space="preserve"> opent een lege Aggregate; entities toevoegen door ze vanuit het rechterpaneel op het canvas te slepen; filters via rechtermuisklik op een attribuut → Filter</w:t>
            </w:r>
          </w:p>
        </w:tc>
      </w:tr>
      <w:tr>
        <w:tc>
          <w:tcPr>
            <w:tcW w:type="dxa" w:w="2880"/>
          </w:tcPr>
          <w:p>
            <w:r>
              <w:t>Advanced SQL (deel 6.2)</w:t>
            </w:r>
          </w:p>
        </w:tc>
        <w:tc>
          <w:tcPr>
            <w:tcW w:type="dxa" w:w="2880"/>
          </w:tcPr>
          <w:p>
            <w:r>
              <w:t>Data of Logic</w:t>
            </w:r>
          </w:p>
        </w:tc>
        <w:tc>
          <w:tcPr>
            <w:tcW w:type="dxa" w:w="2880"/>
          </w:tcPr>
          <w:p>
            <w:r>
              <w:t xml:space="preserve">In een actie-flow: sleep de bouwsteen </w:t>
            </w:r>
            <w:r>
              <w:rPr>
                <w:b/>
              </w:rPr>
              <w:t>Advanced Query</w:t>
            </w:r>
            <w:r>
              <w:t xml:space="preserve"> (SQL) op het canvas vanuit het rechterpaneel</w:t>
            </w:r>
          </w:p>
        </w:tc>
      </w:tr>
      <w:tr>
        <w:tc>
          <w:tcPr>
            <w:tcW w:type="dxa" w:w="2880"/>
          </w:tcPr>
          <w:p>
            <w:r>
              <w:t>Debugger, breakpoints (deel 4.4)</w:t>
            </w:r>
          </w:p>
        </w:tc>
        <w:tc>
          <w:tcPr>
            <w:tcW w:type="dxa" w:w="2880"/>
          </w:tcPr>
          <w:p>
            <w:r>
              <w:t>—</w:t>
            </w:r>
          </w:p>
        </w:tc>
        <w:tc>
          <w:tcPr>
            <w:tcW w:type="dxa" w:w="2880"/>
          </w:tcPr>
          <w:p>
            <w:r>
              <w:t>Zie §4 hieronder</w:t>
            </w:r>
          </w:p>
        </w:tc>
      </w:tr>
    </w:tbl>
    <w:p/>
    <w:p>
      <w:pPr>
        <w:spacing w:before="80" w:after="80"/>
        <w:pBdr>
          <w:bottom w:val="single" w:sz="6" w:color="E9A13B"/>
        </w:pBdr>
      </w:pPr>
    </w:p>
    <w:p>
      <w:pPr>
        <w:pStyle w:val="Heading2"/>
      </w:pPr>
      <w:r>
        <w:rPr>
          <w:color w:val="14213D"/>
        </w:rPr>
        <w:t>4. De debugger</w:t>
      </w:r>
    </w:p>
    <w:p>
      <w:r>
        <w:t xml:space="preserve">Een breakpoint zet u door in de flow van een server action of client action op de gewenste stap te klikken en breakpoint aan te zetten (via het contextmenu of de sneltoets die in Service Studio bij die stap wordt getoond); breakpoints blijven bewaard tussen sessies op dezelfde machine. Start een debug-sessie tegen de Environment waarop u wilt testen; Service Studio opent een </w:t>
      </w:r>
      <w:r>
        <w:rPr>
          <w:b/>
        </w:rPr>
        <w:t>Debugger</w:t>
      </w:r>
      <w:r>
        <w:t xml:space="preserve">-paneel dat variabelen en runtime-waarden toont zodra de uitvoering bij een breakpoint stopt. Vanaf dat punt navigeert u met </w:t>
      </w:r>
      <w:r>
        <w:rPr>
          <w:b/>
        </w:rPr>
        <w:t>Continue</w:t>
      </w:r>
      <w:r>
        <w:t xml:space="preserve">, </w:t>
      </w:r>
      <w:r>
        <w:rPr>
          <w:b/>
        </w:rPr>
        <w:t>Step Over</w:t>
      </w:r>
      <w:r>
        <w:t xml:space="preserve">, </w:t>
      </w:r>
      <w:r>
        <w:rPr>
          <w:b/>
        </w:rPr>
        <w:t>Step Into</w:t>
      </w:r>
      <w:r>
        <w:t xml:space="preserve"> en </w:t>
      </w:r>
      <w:r>
        <w:rPr>
          <w:b/>
        </w:rPr>
        <w:t>Step Out</w:t>
      </w:r>
      <w:r>
        <w:t xml:space="preserve"> — exact de werkwijze die deel 4.4 beschrijft voor het uitzoeken waarom </w:t>
      </w:r>
      <w:r>
        <w:rPr>
          <w:rFonts w:ascii="Consolas" w:hAnsi="Consolas"/>
        </w:rPr>
        <w:t>AanmaakMelding</w:t>
      </w:r>
      <w:r>
        <w:t xml:space="preserve"> een onverwachte status oplevert.</w:t>
      </w:r>
    </w:p>
    <w:p>
      <w:pPr>
        <w:spacing w:before="80" w:after="80"/>
        <w:pBdr>
          <w:bottom w:val="single" w:sz="6" w:color="E9A13B"/>
        </w:pBdr>
      </w:pPr>
    </w:p>
    <w:p>
      <w:pPr>
        <w:pStyle w:val="Heading2"/>
      </w:pPr>
      <w:r>
        <w:rPr>
          <w:color w:val="14213D"/>
        </w:rPr>
        <w:t>5. Cursusbegrip → Service Studio: niveau 2 (vakbekwaam)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Cursusbegrip (deel)</w:t>
            </w:r>
          </w:p>
        </w:tc>
        <w:tc>
          <w:tcPr>
            <w:tcW w:type="dxa" w:w="2880"/>
          </w:tcPr>
          <w:p>
            <w:r>
              <w:rPr>
                <w:b/>
              </w:rPr>
              <w:t>Waar te vinden</w:t>
            </w:r>
          </w:p>
        </w:tc>
        <w:tc>
          <w:tcPr>
            <w:tcW w:type="dxa" w:w="2880"/>
          </w:tcPr>
          <w:p>
            <w:r>
              <w:rPr>
                <w:b/>
              </w:rPr>
              <w:t>Toelichting</w:t>
            </w:r>
          </w:p>
        </w:tc>
      </w:tr>
      <w:tr>
        <w:tc>
          <w:tcPr>
            <w:tcW w:type="dxa" w:w="2880"/>
          </w:tcPr>
          <w:p>
            <w:r>
              <w:t>Architecture Canvas, vier lagen (deel 11)</w:t>
            </w:r>
          </w:p>
        </w:tc>
        <w:tc>
          <w:tcPr>
            <w:tcW w:type="dxa" w:w="2880"/>
          </w:tcPr>
          <w:p>
            <w:r>
              <w:t>Los architectuurhulpmiddel bij het ontwerpen van modules over de vier lagen (End-User, Core, Foundation en de meest generieke basislaag); niet één vast menu-item binnen Service Studio zelf</w:t>
            </w:r>
          </w:p>
        </w:tc>
        <w:tc>
          <w:tcPr>
            <w:tcW w:type="dxa" w:w="2880"/>
          </w:tcPr>
          <w:p>
            <w:r>
              <w:t>De cursus gebruikt de vierlagenregel als ontwerpprincipe; de exacte plek waar OutSystems dit in het huidige portfolio visualiseert (Service Studio, LifeTime, of Architecture Dashboard/AI Mentor Studio, zie §6) verschilt per versie — controleer dit in-product</w:t>
            </w:r>
          </w:p>
        </w:tc>
      </w:tr>
      <w:tr>
        <w:tc>
          <w:tcPr>
            <w:tcW w:type="dxa" w:w="2880"/>
          </w:tcPr>
          <w:p>
            <w:r>
              <w:t>Integration Studio-extensie (deel 16)</w:t>
            </w:r>
          </w:p>
        </w:tc>
        <w:tc>
          <w:tcPr>
            <w:tcW w:type="dxa" w:w="2880"/>
          </w:tcPr>
          <w:p>
            <w:r>
              <w:t>Apart programma, sinds versie 11.14.17 los van Service Studio gedistribueerd</w:t>
            </w:r>
          </w:p>
        </w:tc>
        <w:tc>
          <w:tcPr>
            <w:tcW w:type="dxa" w:w="2880"/>
          </w:tcPr>
          <w:p>
            <w:r>
              <w:t>Zie §7</w:t>
            </w:r>
          </w:p>
        </w:tc>
      </w:tr>
      <w:tr>
        <w:tc>
          <w:tcPr>
            <w:tcW w:type="dxa" w:w="2880"/>
          </w:tcPr>
          <w:p>
            <w:r>
              <w:t>BPT-proces (deel 18)</w:t>
            </w:r>
          </w:p>
        </w:tc>
        <w:tc>
          <w:tcPr>
            <w:tcW w:type="dxa" w:w="2880"/>
          </w:tcPr>
          <w:p>
            <w:r>
              <w:t xml:space="preserve">Processes-tab van een module → </w:t>
            </w:r>
            <w:r>
              <w:rPr>
                <w:b/>
              </w:rPr>
              <w:t>Process Flow Editor</w:t>
            </w:r>
          </w:p>
        </w:tc>
        <w:tc>
          <w:tcPr>
            <w:tcW w:type="dxa" w:w="2880"/>
          </w:tcPr>
          <w:p>
            <w:r>
              <w:t>Zie §8</w:t>
            </w:r>
          </w:p>
        </w:tc>
      </w:tr>
      <w:tr>
        <w:tc>
          <w:tcPr>
            <w:tcW w:type="dxa" w:w="2880"/>
          </w:tcPr>
          <w:p>
            <w:r>
              <w:t>Timer, batchverwerking (deel 18.3)</w:t>
            </w:r>
          </w:p>
        </w:tc>
        <w:tc>
          <w:tcPr>
            <w:tcW w:type="dxa" w:w="2880"/>
          </w:tcPr>
          <w:p>
            <w:r>
              <w:t xml:space="preserve">Logic-tab → rechtermuisklik op </w:t>
            </w:r>
            <w:r>
              <w:rPr>
                <w:b/>
              </w:rPr>
              <w:t>Timers</w:t>
            </w:r>
            <w:r>
              <w:t xml:space="preserve"> → New Timer</w:t>
            </w:r>
          </w:p>
        </w:tc>
        <w:tc>
          <w:tcPr>
            <w:tcW w:type="dxa" w:w="2880"/>
          </w:tcPr>
          <w:p>
            <w:r>
              <w:t>Timers draaien buiten gebruikersinteractie om, los van BPT</w:t>
            </w:r>
          </w:p>
        </w:tc>
      </w:tr>
      <w:tr>
        <w:tc>
          <w:tcPr>
            <w:tcW w:type="dxa" w:w="2880"/>
          </w:tcPr>
          <w:p>
            <w:r>
              <w:t>Promotie, pipeline, rollback (deel 19)</w:t>
            </w:r>
          </w:p>
        </w:tc>
        <w:tc>
          <w:tcPr>
            <w:tcW w:type="dxa" w:w="2880"/>
          </w:tcPr>
          <w:p>
            <w:r>
              <w:t>LifeTime (webconsole, niet in Service Studio)</w:t>
            </w:r>
          </w:p>
        </w:tc>
        <w:tc>
          <w:tcPr>
            <w:tcW w:type="dxa" w:w="2880"/>
          </w:tcPr>
          <w:p>
            <w:r>
              <w:t>Zie §6</w:t>
            </w:r>
          </w:p>
        </w:tc>
      </w:tr>
      <w:tr>
        <w:tc>
          <w:tcPr>
            <w:tcW w:type="dxa" w:w="2880"/>
          </w:tcPr>
          <w:p>
            <w:r>
              <w:t>Architecture Dashboard / technische schuld (deel 20)</w:t>
            </w:r>
          </w:p>
        </w:tc>
        <w:tc>
          <w:tcPr>
            <w:tcW w:type="dxa" w:w="2880"/>
          </w:tcPr>
          <w:p>
            <w:r>
              <w:t>Apart product, gekoppeld aan LifeTime</w:t>
            </w:r>
          </w:p>
        </w:tc>
        <w:tc>
          <w:tcPr>
            <w:tcW w:type="dxa" w:w="2880"/>
          </w:tcPr>
          <w:p>
            <w:r>
              <w:t>Zie §6</w:t>
            </w:r>
          </w:p>
        </w:tc>
      </w:tr>
    </w:tbl>
    <w:p/>
    <w:p>
      <w:pPr>
        <w:spacing w:before="80" w:after="80"/>
        <w:pBdr>
          <w:bottom w:val="single" w:sz="6" w:color="E9A13B"/>
        </w:pBdr>
      </w:pPr>
    </w:p>
    <w:p>
      <w:pPr>
        <w:pStyle w:val="Heading2"/>
      </w:pPr>
      <w:r>
        <w:rPr>
          <w:color w:val="14213D"/>
        </w:rPr>
        <w:t>6. LifeTime: navigatie, rollen en de Architecture Dashboard</w:t>
      </w:r>
    </w:p>
    <w:p>
      <w:r>
        <w:t>LifeTime is de webgebaseerde beheerconsole van O11: één centraal overzicht over alle Environments (Development, Test, Acceptance, Production, en optioneel een Pre-Production-omgeving) van een infrastructuur. LifeTime is niet iets dat u lokaal installeert; het draait als webapplicatie binnen de OutSystems-infrastructuur en is toegankelijk via een browser met een IT-useraccount.</w:t>
      </w:r>
    </w:p>
    <w:p>
      <w:r>
        <w:rPr>
          <w:b/>
        </w:rPr>
        <w:t>Rollen en permissies.</w:t>
      </w:r>
      <w:r>
        <w:t xml:space="preserve"> LifeTime is de "master" van IT-gebruikersaccounts: een account dat u in LifeTime aanmaakt of wijzigt, wordt automatisch doorgezet naar alle geregistreerde Environments. Het permissiemodel kent onder meer:</w:t>
      </w:r>
    </w:p>
    <w:tbl>
      <w:tblPr>
        <w:tblStyle w:val="LightGrid-Accent1"/>
        <w:tblW w:type="auto" w:w="0"/>
        <w:tblLook w:firstColumn="1" w:firstRow="1" w:lastColumn="0" w:lastRow="0" w:noHBand="0" w:noVBand="1" w:val="04A0"/>
      </w:tblPr>
      <w:tblGrid>
        <w:gridCol w:w="4320"/>
        <w:gridCol w:w="4320"/>
      </w:tblGrid>
      <w:tr>
        <w:tc>
          <w:tcPr>
            <w:tcW w:type="dxa" w:w="4320"/>
          </w:tcPr>
          <w:p>
            <w:r>
              <w:rPr>
                <w:b/>
              </w:rPr>
              <w:t>Permissieniveau</w:t>
            </w:r>
          </w:p>
        </w:tc>
        <w:tc>
          <w:tcPr>
            <w:tcW w:type="dxa" w:w="4320"/>
          </w:tcPr>
          <w:p>
            <w:r>
              <w:rPr>
                <w:b/>
              </w:rPr>
              <w:t>Wat het toestaat</w:t>
            </w:r>
          </w:p>
        </w:tc>
      </w:tr>
      <w:tr>
        <w:tc>
          <w:tcPr>
            <w:tcW w:type="dxa" w:w="4320"/>
          </w:tcPr>
          <w:p>
            <w:r>
              <w:t>No Access</w:t>
            </w:r>
          </w:p>
        </w:tc>
        <w:tc>
          <w:tcPr>
            <w:tcW w:type="dxa" w:w="4320"/>
          </w:tcPr>
          <w:p>
            <w:r>
              <w:t>Geen toegang tot de Environment</w:t>
            </w:r>
          </w:p>
        </w:tc>
      </w:tr>
      <w:tr>
        <w:tc>
          <w:tcPr>
            <w:tcW w:type="dxa" w:w="4320"/>
          </w:tcPr>
          <w:p>
            <w:r>
              <w:t>List Applications</w:t>
            </w:r>
          </w:p>
        </w:tc>
        <w:tc>
          <w:tcPr>
            <w:tcW w:type="dxa" w:w="4320"/>
          </w:tcPr>
          <w:p>
            <w:r>
              <w:t>Alleen zien welke applicaties en versies draaien</w:t>
            </w:r>
          </w:p>
        </w:tc>
      </w:tr>
      <w:tr>
        <w:tc>
          <w:tcPr>
            <w:tcW w:type="dxa" w:w="4320"/>
          </w:tcPr>
          <w:p>
            <w:r>
              <w:t>Reuse and Monitor Applications</w:t>
            </w:r>
          </w:p>
        </w:tc>
        <w:tc>
          <w:tcPr>
            <w:tcW w:type="dxa" w:w="4320"/>
          </w:tcPr>
          <w:p>
            <w:r>
              <w:t>Openen, debuggen en hergebruiken van functionaliteit</w:t>
            </w:r>
          </w:p>
        </w:tc>
      </w:tr>
      <w:tr>
        <w:tc>
          <w:tcPr>
            <w:tcW w:type="dxa" w:w="4320"/>
          </w:tcPr>
          <w:p>
            <w:r>
              <w:t>Change and Deploy Applications</w:t>
            </w:r>
          </w:p>
        </w:tc>
        <w:tc>
          <w:tcPr>
            <w:tcW w:type="dxa" w:w="4320"/>
          </w:tcPr>
          <w:p>
            <w:r>
              <w:t>Alles van bovenstaand niveau, plus zelf wijzigen en deployen</w:t>
            </w:r>
          </w:p>
        </w:tc>
      </w:tr>
    </w:tbl>
    <w:p/>
    <w:p>
      <w:r>
        <w:rPr>
          <w:b/>
        </w:rPr>
        <w:t>Promotie tussen omgevingen (deel 19).</w:t>
      </w:r>
      <w:r>
        <w:t xml:space="preserve"> In LifeTime stelt u een deployment plan samen: welke module(s), van welke versie, naar welke Environment. De typische route loopt Development → Test → Acceptance → Production, met bij Acceptance-naar-Production doorgaans een expliciete goedkeuring door een geautoriseerde gebruiker. Rollback verloopt eveneens via LifeTime: teruggaan naar een eerder gepubliceerde versie van een module — met de kanttekening uit deel 19.4 dat dit bij datamodel-wijzigingen complexer is dan bij logica-only wijzigingen.</w:t>
      </w:r>
    </w:p>
    <w:p>
      <w:r>
        <w:rPr>
          <w:b/>
        </w:rPr>
        <w:t>Architecture Dashboard — let op naamswijziging.</w:t>
      </w:r>
      <w:r>
        <w:t xml:space="preserve"> De tool die de cursus (deel 11, 20) aanduidt als "Architecture Dashboard" is door OutSystems hernoemd naar </w:t>
      </w:r>
      <w:r>
        <w:rPr>
          <w:b/>
        </w:rPr>
        <w:t>AI Mentor Studio</w:t>
      </w:r>
      <w:r>
        <w:t>, als onderdeel van een bredere set van vijf "mentors" (Code Mentor, Architecture Mentor, Security Mentor, Performance Mentor, Maintainability Mentor). Functioneel is de rol ongewijzigd: het analyseert een applicatielandschap op architecturale schendingen (bijvoorbeeld een Foundation-module die van een End-User-module afhangt, in strijd met de vierlagenregel uit deel 11) en op technische schuld in bredere zin. AI Mentor Studio bestaat uit een SaaS-component die data verzamelt via een LifeTime-plugin (environment probes) — het is dus gekoppeld aan, maar niet identiek aan, LifeTime zelf. Voor de cursus betekent dit: als u in-product zoekt naar "Architecture Dashboard" en dat niet vindt, zoek dan naar "AI Mentor Studio" — beide namen circuleren nog naast elkaar in documentatie en gemeenschap, afhankelijk van de publicatiedatum van de bron.</w:t>
      </w:r>
    </w:p>
    <w:p>
      <w:pPr>
        <w:spacing w:before="80" w:after="80"/>
        <w:pBdr>
          <w:bottom w:val="single" w:sz="6" w:color="E9A13B"/>
        </w:pBdr>
      </w:pPr>
    </w:p>
    <w:p>
      <w:pPr>
        <w:pStyle w:val="Heading2"/>
      </w:pPr>
      <w:r>
        <w:rPr>
          <w:color w:val="14213D"/>
        </w:rPr>
        <w:t>7. Integration Studio-workflow (deel 16)</w:t>
      </w:r>
    </w:p>
    <w:p>
      <w:r>
        <w:t>Integration Studio is een apart desktopprogramma — geen tabblad binnen Service Studio — bedoeld voor developers met programmeerervaring in de door OutSystems ondersteunde native technologieën (Microsoft .NET, SQL Server, Oracle Database). De werkwijze:</w:t>
      </w:r>
    </w:p>
    <w:p>
      <w:pPr>
        <w:pStyle w:val="ListNumber"/>
      </w:pPr>
      <w:r>
        <w:t xml:space="preserve">Open Integration Studio en maak een nieuwe </w:t>
      </w:r>
      <w:r>
        <w:rPr>
          <w:b/>
        </w:rPr>
        <w:t>Extension</w:t>
      </w:r>
      <w:r>
        <w:t>.</w:t>
      </w:r>
    </w:p>
    <w:p>
      <w:pPr>
        <w:pStyle w:val="ListNumber"/>
      </w:pPr>
      <w:r>
        <w:t>Definieer daarin Entities, Structures en Actions die het externe of legacy-systeem ontsluiten (bijvoorbeeld het door Meridiaan gebruikte, verouderde on-premise personeelssysteem uit deel 16.2).</w:t>
      </w:r>
    </w:p>
    <w:p>
      <w:pPr>
        <w:pStyle w:val="ListNumber"/>
      </w:pPr>
      <w:r>
        <w:t>Voor Actions met eigen logica: open de gegenereerde broncode in Visual Studio, implementeer de aanroep naar het externe systeem, en compileer.</w:t>
      </w:r>
    </w:p>
    <w:p>
      <w:pPr>
        <w:pStyle w:val="ListNumber"/>
      </w:pPr>
      <w:r>
        <w:t>Publiceer de Extension naar de Platform Server.</w:t>
      </w:r>
    </w:p>
    <w:p>
      <w:pPr>
        <w:pStyle w:val="ListNumber"/>
      </w:pPr>
      <w:r>
        <w:t xml:space="preserve">Terug in Service Studio: open de module die de koppeling nodig heeft, ga naar </w:t>
      </w:r>
      <w:r>
        <w:rPr>
          <w:b/>
        </w:rPr>
        <w:t>Manage Dependencies</w:t>
      </w:r>
      <w:r>
        <w:t>, en voeg de Extension toe als dependency. Vanaf dat moment zijn de Entities, Structures en Actions uit de extensie te gebruiken als waren ze platform-native — precies zoals deel 16.2 het beschrijft.</w:t>
      </w:r>
    </w:p>
    <w:p>
      <w:r>
        <w:t>Dit is de concrete, in-product tegenhanger van het structurele verschil dat deel 16 benoemt: ODC kent geen direct equivalent van Integration Studio en leunt primair op REST-gebaseerde integratie.</w:t>
      </w:r>
    </w:p>
    <w:p>
      <w:pPr>
        <w:spacing w:before="80" w:after="80"/>
        <w:pBdr>
          <w:bottom w:val="single" w:sz="6" w:color="E9A13B"/>
        </w:pBdr>
      </w:pPr>
    </w:p>
    <w:p>
      <w:pPr>
        <w:pStyle w:val="Heading2"/>
      </w:pPr>
      <w:r>
        <w:rPr>
          <w:color w:val="14213D"/>
        </w:rPr>
        <w:t>8. De BPT-designer: Process Flow Editor (deel 18)</w:t>
      </w:r>
    </w:p>
    <w:p>
      <w:r>
        <w:t xml:space="preserve">BPT-processen bouwt u op het </w:t>
      </w:r>
      <w:r>
        <w:rPr>
          <w:b/>
        </w:rPr>
        <w:t>Processes</w:t>
      </w:r>
      <w:r>
        <w:t xml:space="preserve">-tabblad van een module, in de </w:t>
      </w:r>
      <w:r>
        <w:rPr>
          <w:b/>
        </w:rPr>
        <w:t>Process Flow Editor</w:t>
      </w:r>
      <w:r>
        <w:t xml:space="preserve"> — een apart canvas naast de Data/Logic/Interface-lagen, specifiek voor langlopende, mensen-in-de-lus processen. De bouwstenen die het indienen → beoordeling → goedkeuring-patroon uit deel 18 ondersteunen:</w:t>
      </w:r>
    </w:p>
    <w:p>
      <w:pPr>
        <w:pStyle w:val="ListBullet"/>
      </w:pPr>
      <w:r>
        <w:rPr>
          <w:b/>
        </w:rPr>
        <w:t>Human Activity</w:t>
      </w:r>
      <w:r>
        <w:t xml:space="preserve"> — een taak die aan een specifieke gebruiker of rol wordt toegewezen en waarop het proces wacht totdat die persoon een beslissing vastlegt (bijvoorbeeld: beoordelaar keurt goed/af). De taak verschijnt voor de toegewezen gebruiker in een taakoverzicht (taskbox) binnen de bijbehorende applicatie.</w:t>
      </w:r>
    </w:p>
    <w:p>
      <w:pPr>
        <w:pStyle w:val="ListBullet"/>
      </w:pPr>
      <w:r>
        <w:rPr>
          <w:b/>
        </w:rPr>
        <w:t>Wait Activity / wachttoestand</w:t>
      </w:r>
      <w:r>
        <w:t xml:space="preserve"> — een stap die het proces pauzeert tot een voorwaarde vervuld is: een timer verstrijkt, of een extern signaal/herindiening komt binnen. Dit is de bouwsteen achter de "wachttijden en escalaties" die deel 18.2 noemt.</w:t>
      </w:r>
    </w:p>
    <w:p>
      <w:pPr>
        <w:pStyle w:val="ListBullet"/>
      </w:pPr>
      <w:r>
        <w:rPr>
          <w:b/>
        </w:rPr>
        <w:t>Decision-elementen</w:t>
      </w:r>
      <w:r>
        <w:t xml:space="preserve"> — vertakkingen op basis van de uitkomst van een Human Activity (goedgekeurd/afgewezen), inclusief lussen voor bijvoorbeeld een N-staps-goedkeuringshiërarchie.</w:t>
      </w:r>
    </w:p>
    <w:p>
      <w:r>
        <w:rPr>
          <w:b/>
        </w:rPr>
        <w:t>Bevestiging van het cursusprincipe uit deel 18.2:</w:t>
      </w:r>
      <w:r>
        <w:t xml:space="preserve"> BPT is een O11-specifiek mechanisme; ODC kent geen Process Flow Editor en bouwt hetzelfde gedrag op via reguliere entities, Timers en expliciete server actions — de door de cursus beschreven "zelfgebouwde state machine" is dus geen vereenvoudigde beschrijving maar de daadwerkelijke aanbevolen aanpak in ODC.</w:t>
      </w:r>
    </w:p>
    <w:p>
      <w:pPr>
        <w:spacing w:before="80" w:after="80"/>
        <w:pBdr>
          <w:bottom w:val="single" w:sz="6" w:color="E9A13B"/>
        </w:pBdr>
      </w:pPr>
    </w:p>
    <w:p>
      <w:pPr>
        <w:pStyle w:val="Heading2"/>
      </w:pPr>
      <w:r>
        <w:rPr>
          <w:color w:val="14213D"/>
        </w:rPr>
        <w:t>9. Exporteren en documenteren</w:t>
      </w:r>
    </w:p>
    <w:p>
      <w:r>
        <w:t>Service Studio en LifeTime bieden geen ingebouwde, één-klik "exporteer volledige projectdocumentatie"-functie zoals Archi dat kent voor ArchiMate-modellen. Wat wel beschikbaar is:</w:t>
      </w:r>
    </w:p>
    <w:p>
      <w:pPr>
        <w:pStyle w:val="ListBullet"/>
      </w:pPr>
      <w:r>
        <w:rPr>
          <w:b/>
        </w:rPr>
        <w:t>Manage Dependencies en de module-boomstructuur</w:t>
      </w:r>
      <w:r>
        <w:t xml:space="preserve"> geven op elk moment een navigeerbaar overzicht van entities, acties en schermen — bruikbaar als live-referentie, niet als exportbestand.</w:t>
      </w:r>
    </w:p>
    <w:p>
      <w:pPr>
        <w:pStyle w:val="ListBullet"/>
      </w:pPr>
      <w:r>
        <w:rPr>
          <w:b/>
        </w:rPr>
        <w:t>OutDoc</w:t>
      </w:r>
      <w:r>
        <w:t xml:space="preserve"> (en vergelijkbare Forge-componenten zoals DOC Assist) zijn door de OutSystems-gemeenschap gebouwde, niet-officiële tools die de binary van een module uitlezen en daaruit gestructureerde documentatie (bijvoorbeeld naar Excel of PDF) genereren. Dit zijn Forge-installaties, geen standaardonderdeel van Service Studio — installeer en beoordeel ze zoals u elke Forge-component beoordeelt, ook op onderhoudsstatus.</w:t>
      </w:r>
    </w:p>
    <w:p>
      <w:pPr>
        <w:pStyle w:val="ListBullet"/>
      </w:pPr>
      <w:r>
        <w:rPr>
          <w:b/>
        </w:rPr>
        <w:t>LifeTime</w:t>
      </w:r>
      <w:r>
        <w:t xml:space="preserve"> toont voor elke Environment welke applicatieversies actief zijn, wat in de praktijk fungeert als het meest actuele "wat draait waar"-overzicht — het dichtst bij documentatie dat native beschikbaar is.</w:t>
      </w:r>
    </w:p>
    <w:p>
      <w:r>
        <w:t>Voor een cursusdeliverable (zoals een projectdocument met een [FIGUUR x-y]-placeholder) is een schermafdruk van de relevante Aggregate, flow of Process Flow Editor doorgaans de praktische route, niet een geautomatiseerde export.</w:t>
      </w:r>
    </w:p>
    <w:p>
      <w:pPr>
        <w:spacing w:before="80" w:after="80"/>
        <w:pBdr>
          <w:bottom w:val="single" w:sz="6" w:color="E9A13B"/>
        </w:pBdr>
      </w:pPr>
    </w:p>
    <w:p>
      <w:pPr>
        <w:pStyle w:val="Heading2"/>
      </w:pPr>
      <w:r>
        <w:rPr>
          <w:color w:val="14213D"/>
        </w:rPr>
        <w:t>10. Wat deze bijlage niet dekt</w:t>
      </w:r>
    </w:p>
    <w:p>
      <w:r>
        <w:t>ODC Studio en de ODC Portal — het cloud-native zustertraject dat WGP 2.0 gebruikt — hebben een eigen interface-logica (1-Click Publish, pipelines, een andere permissiestructuur) die niet één-op-één op Service Studio/LifeTime te herleiden is. Waar de cursus O11 en ODC naast elkaar behandelt (deel 1–20), beschrijft déze bijlage uitsluitend de O11-kant; raadpleeg voor ODC de ODC-documentatie op success.outsystems.com (sectie "OutSystems Developer Cloud").</w:t>
      </w:r>
    </w:p>
    <w:p>
      <w:pPr>
        <w:spacing w:before="80" w:after="80"/>
        <w:pBdr>
          <w:bottom w:val="single" w:sz="6" w:color="E9A13B"/>
        </w:pBdr>
      </w:pPr>
    </w:p>
    <w:p>
      <w:r>
        <w:rPr>
          <w:i/>
        </w:rPr>
        <w:t>Deze bijlage staat buiten de nummering van de dertig delen. OutSystems is actief in doorontwikkeling — controleer bij twijfel altijd het huidige menupad op success.outsystems.com in plaats van op deze bijlage te vertrouwen voor exacte schermdetails.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