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1 — Deel 1</w:t>
      </w:r>
    </w:p>
    <w:p>
      <w:pPr>
        <w:spacing w:after="300"/>
      </w:pPr>
      <w:r>
        <w:rPr>
          <w:rFonts w:ascii="Calibri" w:cs="Calibri" w:eastAsia="Calibri" w:hAnsi="Calibri"/>
          <w:b/>
          <w:bCs/>
          <w:color w:val="14213D"/>
          <w:sz w:val="34"/>
          <w:szCs w:val="34"/>
        </w:rPr>
        <w:t xml:space="preserve">Werkboek — Wat is business- en enterprise-architectuur?</w:t>
      </w:r>
    </w:p>
    <w:p>
      <w:pPr>
        <w:spacing w:after="160" w:line="300"/>
        <w:jc w:val="left"/>
      </w:pPr>
      <w:r>
        <w:rPr>
          <w:rFonts w:ascii="Calibri" w:cs="Calibri" w:eastAsia="Calibri" w:hAnsi="Calibri"/>
          <w:b w:val="false"/>
          <w:bCs w:val="false"/>
          <w:i w:val="false"/>
          <w:iCs w:val="false"/>
          <w:color w:val="1A1A1A"/>
          <w:sz w:val="21"/>
          <w:szCs w:val="21"/>
        </w:rPr>
        <w:t xml:space="preserve">Werk de opdrachten in volgorde uit. Opdracht 1 t/m 5 worden klassikaal gemaakt en nabesproken; de uitwerkingen achterin zijn modeluitwerkingen — jouw antwoord mag afwijken, mits je het kunt verantwoorden. Elke opdracht sluit af met een verantwoordingsvraag; dat is opzet en blijft de hele cursus zo.</w:t>
      </w:r>
    </w:p>
    <w:p>
      <w:pPr>
        <w:spacing w:after="160" w:line="300"/>
        <w:jc w:val="left"/>
      </w:pPr>
      <w:r>
        <w:rPr>
          <w:rFonts w:ascii="Calibri" w:cs="Calibri" w:eastAsia="Calibri" w:hAnsi="Calibri"/>
          <w:b w:val="false"/>
          <w:bCs w:val="false"/>
          <w:i w:val="false"/>
          <w:iCs w:val="false"/>
          <w:color w:val="1A1A1A"/>
          <w:sz w:val="21"/>
          <w:szCs w:val="21"/>
        </w:rPr>
        <w:t xml:space="preserve">Benodigd materiaal: de reader van deel 1, het post-mortemuittreksel WGP 2.0 (bijlage A in dit werkboek).</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Post-mortem lezen als architect (25 min, tweetallen)</w:t>
      </w:r>
    </w:p>
    <w:p>
      <w:pPr>
        <w:spacing w:after="160" w:line="300"/>
        <w:jc w:val="left"/>
      </w:pPr>
      <w:r>
        <w:rPr>
          <w:rFonts w:ascii="Calibri" w:cs="Calibri" w:eastAsia="Calibri" w:hAnsi="Calibri"/>
          <w:b w:val="false"/>
          <w:bCs w:val="false"/>
          <w:i w:val="false"/>
          <w:iCs w:val="false"/>
          <w:color w:val="1A1A1A"/>
          <w:sz w:val="21"/>
          <w:szCs w:val="21"/>
        </w:rPr>
        <w:t xml:space="preserve">Lees de zeven bevindingen B3–B14 in bijlage A.</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Wijs elke bevinding toe aan precies één architectuurdomein (business, data, applicatie, technologie) of aan "samenhang/governance" als het gebrek domeinoverstijgend is.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Kies de twee bevindingen die volgens jullie de meeste schade hebben veroorzaakt. Beargumenteer in drie zinnen per bevinding.</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welke bevinding was met een bescheiden architectuurinspanning (minder dan tien werkdagen) te voorkomen geweest, en welke niet? Waarom?</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Twee betekenissen van architectuur (15 min, individueel)</w:t>
      </w:r>
    </w:p>
    <w:p>
      <w:pPr>
        <w:spacing w:after="160" w:line="300"/>
        <w:jc w:val="left"/>
      </w:pPr>
      <w:r>
        <w:rPr>
          <w:rFonts w:ascii="Calibri" w:cs="Calibri" w:eastAsia="Calibri" w:hAnsi="Calibri"/>
          <w:b w:val="false"/>
          <w:bCs w:val="false"/>
          <w:i w:val="false"/>
          <w:iCs w:val="false"/>
          <w:color w:val="1A1A1A"/>
          <w:sz w:val="21"/>
          <w:szCs w:val="21"/>
        </w:rPr>
        <w:t xml:space="preserve">De reader (§2.1) onderscheidt architectuur als </w:t>
      </w:r>
      <w:r>
        <w:rPr>
          <w:rFonts w:ascii="Calibri" w:cs="Calibri" w:eastAsia="Calibri" w:hAnsi="Calibri"/>
          <w:b w:val="false"/>
          <w:bCs w:val="false"/>
          <w:i/>
          <w:iCs/>
          <w:color w:val="1A1A1A"/>
          <w:sz w:val="21"/>
          <w:szCs w:val="21"/>
        </w:rPr>
        <w:t xml:space="preserve">inrichting</w:t>
      </w:r>
      <w:r>
        <w:rPr>
          <w:rFonts w:ascii="Calibri" w:cs="Calibri" w:eastAsia="Calibri" w:hAnsi="Calibri"/>
          <w:b w:val="false"/>
          <w:bCs w:val="false"/>
          <w:i w:val="false"/>
          <w:iCs w:val="false"/>
          <w:color w:val="1A1A1A"/>
          <w:sz w:val="21"/>
          <w:szCs w:val="21"/>
        </w:rPr>
        <w:t xml:space="preserve"> en als </w:t>
      </w:r>
      <w:r>
        <w:rPr>
          <w:rFonts w:ascii="Calibri" w:cs="Calibri" w:eastAsia="Calibri" w:hAnsi="Calibri"/>
          <w:b w:val="false"/>
          <w:bCs w:val="false"/>
          <w:i/>
          <w:iCs/>
          <w:color w:val="1A1A1A"/>
          <w:sz w:val="21"/>
          <w:szCs w:val="21"/>
        </w:rPr>
        <w:t xml:space="preserve">beschrijving</w:t>
      </w:r>
      <w:r>
        <w:rPr>
          <w:rFonts w:ascii="Calibri" w:cs="Calibri" w:eastAsia="Calibri" w:hAnsi="Calibri"/>
          <w:b w:val="false"/>
          <w:bCs w:val="false"/>
          <w:i w:val="false"/>
          <w:iCs w:val="false"/>
          <w:color w:val="1A1A1A"/>
          <w:sz w:val="21"/>
          <w:szCs w:val="21"/>
        </w:rPr>
        <w:t xml:space="preserv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Geef van beide betekenissen een concreet Meridiaan-voorbeeld dat niet in de reader staat.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Een collega zegt: "Wij hebben geen architectuur, dus valt er ook niets te beschrijven." Formuleer in maximaal vier zinnen je weerwoord.</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waarom is dit onderscheid meer dan een taalkwestie — wat gaat er praktisch mis als een organisatie de twee verwart?</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De enterprise afbakenen (20 min, tweetallen)</w:t>
      </w:r>
    </w:p>
    <w:p>
      <w:pPr>
        <w:spacing w:after="160" w:line="300"/>
        <w:jc w:val="left"/>
      </w:pPr>
      <w:r>
        <w:rPr>
          <w:rFonts w:ascii="Calibri" w:cs="Calibri" w:eastAsia="Calibri" w:hAnsi="Calibri"/>
          <w:b w:val="false"/>
          <w:bCs w:val="false"/>
          <w:i w:val="false"/>
          <w:iCs w:val="false"/>
          <w:color w:val="1A1A1A"/>
          <w:sz w:val="21"/>
          <w:szCs w:val="21"/>
        </w:rPr>
        <w:t xml:space="preserve">De reader (§2.2) noemt drie mogelijke afbakeningen van de enterprise "Meridiaan".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Kies de afbakening die jullie voor de nieuwe architectuurfunctie zouden hanteren.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Noem één probleem dat jullie afbakening </w:t>
      </w:r>
      <w:r>
        <w:rPr>
          <w:rFonts w:ascii="Calibri" w:cs="Calibri" w:eastAsia="Calibri" w:hAnsi="Calibri"/>
          <w:b w:val="false"/>
          <w:bCs w:val="false"/>
          <w:i/>
          <w:iCs/>
          <w:color w:val="1A1A1A"/>
          <w:sz w:val="21"/>
          <w:szCs w:val="21"/>
        </w:rPr>
        <w:t xml:space="preserve">binnen</w:t>
      </w:r>
      <w:r>
        <w:rPr>
          <w:rFonts w:ascii="Calibri" w:cs="Calibri" w:eastAsia="Calibri" w:hAnsi="Calibri"/>
          <w:b w:val="false"/>
          <w:bCs w:val="false"/>
          <w:i w:val="false"/>
          <w:iCs w:val="false"/>
          <w:color w:val="1A1A1A"/>
          <w:sz w:val="21"/>
          <w:szCs w:val="21"/>
        </w:rPr>
        <w:t xml:space="preserve"> scope brengt dat de andere twee missen, en één risico dat jullie keuze introduceert.</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WGP 2.0 bakende impliciet af. Wat maakt een </w:t>
            </w:r>
            <w:r>
              <w:rPr>
                <w:rFonts w:ascii="Calibri" w:cs="Calibri" w:eastAsia="Calibri" w:hAnsi="Calibri"/>
                <w:b w:val="false"/>
                <w:bCs w:val="false"/>
                <w:i/>
                <w:iCs/>
                <w:color w:val="14213D"/>
                <w:sz w:val="20"/>
                <w:szCs w:val="20"/>
              </w:rPr>
              <w:t xml:space="preserve">expliciete</w:t>
            </w:r>
            <w:r>
              <w:rPr>
                <w:rFonts w:ascii="Calibri" w:cs="Calibri" w:eastAsia="Calibri" w:hAnsi="Calibri"/>
                <w:b w:val="false"/>
                <w:bCs w:val="false"/>
                <w:i/>
                <w:iCs/>
                <w:color w:val="14213D"/>
                <w:sz w:val="20"/>
                <w:szCs w:val="20"/>
              </w:rPr>
              <w:t xml:space="preserve"> afbakening beter, zelfs als zij achteraf verkeerd blijkt?</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Stakeholders en concerns (25 min, drietallen)</w:t>
      </w:r>
    </w:p>
    <w:p>
      <w:pPr>
        <w:spacing w:after="160" w:line="300"/>
        <w:jc w:val="left"/>
      </w:pPr>
      <w:r>
        <w:rPr>
          <w:rFonts w:ascii="Calibri" w:cs="Calibri" w:eastAsia="Calibri" w:hAnsi="Calibri"/>
          <w:b w:val="false"/>
          <w:bCs w:val="false"/>
          <w:i w:val="false"/>
          <w:iCs w:val="false"/>
          <w:color w:val="1A1A1A"/>
          <w:sz w:val="21"/>
          <w:szCs w:val="21"/>
        </w:rPr>
        <w:t xml:space="preserve">De directie vraagt de nieuwe architectuurfunctie zich voor te stellen aan de organisatie.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Benoem zes stakeholders van de architectuurfunctie zelf (dus niet van een project). Neem minimaal één toezichthoudende en één uitvoerende stakeholder op.</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Formuleer per stakeholder diens belangrijkste concern in één zin, in de taal van die stakeholder.</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Kies twee stakeholders met botsende concerns en beschrijf in vijf zinnen hoe de architectuurfunctie met die spanning omgaat.</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welke stakeholder vergeet een beginnend architect het vaakst, en wat kost dat? (Denk aan B11.)</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Rollenspel: de architect adviseert (30 min, drietallen — adviseur, directeur, observant; wissel na 8 min)</w:t>
      </w:r>
    </w:p>
    <w:p>
      <w:pPr>
        <w:spacing w:after="160" w:line="300"/>
        <w:jc w:val="left"/>
      </w:pPr>
      <w:r>
        <w:rPr>
          <w:rFonts w:ascii="Calibri" w:cs="Calibri" w:eastAsia="Calibri" w:hAnsi="Calibri"/>
          <w:b w:val="false"/>
          <w:bCs w:val="false"/>
          <w:i w:val="false"/>
          <w:iCs w:val="false"/>
          <w:color w:val="1A1A1A"/>
          <w:sz w:val="21"/>
          <w:szCs w:val="21"/>
        </w:rPr>
        <w:t xml:space="preserve">Situatie: de financieel directeur wil het gestrande WGP 2.0 "gewoon opnieuw aanbesteden, maar dan bij één leverancier — dan is dat samenhangprobleem toch opgelost?"</w:t>
      </w:r>
    </w:p>
    <w:p>
      <w:pPr>
        <w:spacing w:after="160" w:line="300"/>
        <w:jc w:val="left"/>
      </w:pPr>
      <w:r>
        <w:rPr>
          <w:rFonts w:ascii="Calibri" w:cs="Calibri" w:eastAsia="Calibri" w:hAnsi="Calibri"/>
          <w:b w:val="false"/>
          <w:bCs w:val="false"/>
          <w:i w:val="false"/>
          <w:iCs w:val="false"/>
          <w:color w:val="1A1A1A"/>
          <w:sz w:val="21"/>
          <w:szCs w:val="21"/>
        </w:rPr>
        <w:t xml:space="preserve">De adviseur voert het gesprek volgens de drie praktijkregels uit §5.2 (opties, taal van de concern, aanwezig vóór het besluit). De observant scoort op een observatieformulier: (1) adviseerde de architect in opties? (2) sprak die de taal van de concern van de directeur? (3) beslíste de architect, of zorgde die dat er goed beslist kon worden?</w:t>
      </w:r>
    </w:p>
    <w:p>
      <w:pPr>
        <w:spacing w:after="160" w:line="300"/>
        <w:jc w:val="left"/>
      </w:pPr>
      <w:r>
        <w:rPr>
          <w:rFonts w:ascii="Calibri" w:cs="Calibri" w:eastAsia="Calibri" w:hAnsi="Calibri"/>
          <w:b w:val="false"/>
          <w:bCs w:val="false"/>
          <w:i w:val="false"/>
          <w:iCs w:val="false"/>
          <w:color w:val="1A1A1A"/>
          <w:sz w:val="21"/>
          <w:szCs w:val="21"/>
        </w:rPr>
        <w:t xml:space="preserve">Nabespreking plenair: welke formulering werkte, welke sloeg dicht?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Huiswerk: elevator pitch architectuurfunctie (schriftelijk, inleveren vóór deel 2)</w:t>
      </w:r>
    </w:p>
    <w:p>
      <w:pPr>
        <w:spacing w:after="160" w:line="300"/>
        <w:jc w:val="left"/>
      </w:pPr>
      <w:r>
        <w:rPr>
          <w:rFonts w:ascii="Calibri" w:cs="Calibri" w:eastAsia="Calibri" w:hAnsi="Calibri"/>
          <w:b w:val="false"/>
          <w:bCs w:val="false"/>
          <w:i w:val="false"/>
          <w:iCs w:val="false"/>
          <w:color w:val="1A1A1A"/>
          <w:sz w:val="21"/>
          <w:szCs w:val="21"/>
        </w:rPr>
        <w:t xml:space="preserve">Schrijf de pitch (max. 200 woorden) waarmee jij als kersverse architect in het managementteam van Meridiaan uitlegt (a) wat de architectuurfunctie gaat doen, (b) wat zij het eerste kwartaal oplevert, en (c) wat zij nadrukkelijk </w:t>
      </w:r>
      <w:r>
        <w:rPr>
          <w:rFonts w:ascii="Calibri" w:cs="Calibri" w:eastAsia="Calibri" w:hAnsi="Calibri"/>
          <w:b w:val="false"/>
          <w:bCs w:val="false"/>
          <w:i/>
          <w:iCs/>
          <w:color w:val="1A1A1A"/>
          <w:sz w:val="21"/>
          <w:szCs w:val="21"/>
        </w:rPr>
        <w:t xml:space="preserve">niet</w:t>
      </w:r>
      <w:r>
        <w:rPr>
          <w:rFonts w:ascii="Calibri" w:cs="Calibri" w:eastAsia="Calibri" w:hAnsi="Calibri"/>
          <w:b w:val="false"/>
          <w:bCs w:val="false"/>
          <w:i w:val="false"/>
          <w:iCs w:val="false"/>
          <w:color w:val="1A1A1A"/>
          <w:sz w:val="21"/>
          <w:szCs w:val="21"/>
        </w:rPr>
        <w:t xml:space="preserve"> is. Gebruik minimaal twee post-mortembevindingen als bewijs. Deel 2 opent met peer feedback op deze pitches (10 minuten, tweetallen).</w:t>
      </w:r>
    </w:p>
    <w:p>
      <w:pPr>
        <w:spacing w:after="160" w:line="300"/>
        <w:jc w:val="left"/>
      </w:pPr>
      <w:r>
        <w:rPr>
          <w:rFonts w:ascii="Calibri" w:cs="Calibri" w:eastAsia="Calibri" w:hAnsi="Calibri"/>
          <w:b w:val="false"/>
          <w:bCs w:val="false"/>
          <w:i w:val="false"/>
          <w:iCs w:val="false"/>
          <w:color w:val="1A1A1A"/>
          <w:sz w:val="21"/>
          <w:szCs w:val="21"/>
        </w:rPr>
        <w:t xml:space="preserve">## Bijlage A — Uittreksel post-mortem WGP 2.0</w:t>
      </w:r>
    </w:p>
    <w:p>
      <w:pPr>
        <w:spacing w:before="300"/>
      </w:pPr>
      <w:r>
        <w:rPr>
          <w:rFonts w:ascii="Calibri" w:cs="Calibri" w:eastAsia="Calibri" w:hAnsi="Calibri"/>
          <w:i/>
          <w:iCs/>
          <w:color w:val="6B7280"/>
          <w:sz w:val="20"/>
          <w:szCs w:val="20"/>
        </w:rPr>
        <w:t xml:space="preserve">(Integrale bevindingen B3, B5, B7, B9, B11, B12, B14 zoals geciteerd in de reader, §1, aangevuld met de feitelijke projectgegevens: startdatum, drie deelprojecten met technologiestacks, moment van ontdekking definitieconflict "werkgever" bij integratietest, stopzettingsbesluit.)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B3.</w:t>
      </w:r>
      <w:r>
        <w:rPr>
          <w:rFonts w:ascii="Calibri" w:cs="Calibri" w:eastAsia="Calibri" w:hAnsi="Calibri"/>
          <w:b w:val="false"/>
          <w:bCs w:val="false"/>
          <w:i w:val="false"/>
          <w:iCs w:val="false"/>
          <w:color w:val="1A1A1A"/>
          <w:sz w:val="21"/>
          <w:szCs w:val="21"/>
        </w:rPr>
        <w:t xml:space="preserve"> Er bestond geen gedeeld beeld van het applicatielandschap; niemand kon aangeven welke systemen door het portaal geraakt zouden worden.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B5.</w:t>
      </w:r>
      <w:r>
        <w:rPr>
          <w:rFonts w:ascii="Calibri" w:cs="Calibri" w:eastAsia="Calibri" w:hAnsi="Calibri"/>
          <w:b w:val="false"/>
          <w:bCs w:val="false"/>
          <w:i w:val="false"/>
          <w:iCs w:val="false"/>
          <w:color w:val="1A1A1A"/>
          <w:sz w:val="21"/>
          <w:szCs w:val="21"/>
        </w:rPr>
        <w:t xml:space="preserve"> Beslissingen over technologiekeuzes werden per deelproject genomen, zonder toetsing aan een gemeenschappelijk kader.</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B7.</w:t>
      </w:r>
      <w:r>
        <w:rPr>
          <w:rFonts w:ascii="Calibri" w:cs="Calibri" w:eastAsia="Calibri" w:hAnsi="Calibri"/>
          <w:b w:val="false"/>
          <w:bCs w:val="false"/>
          <w:i w:val="false"/>
          <w:iCs w:val="false"/>
          <w:color w:val="1A1A1A"/>
          <w:sz w:val="21"/>
          <w:szCs w:val="21"/>
        </w:rPr>
        <w:t xml:space="preserve"> De term "werkgever" bleek in de drie deelprojecten drie verschillende betekenissen te hebben, wat pas bij de integratietest aan het licht kwam.</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B9.</w:t>
      </w:r>
      <w:r>
        <w:rPr>
          <w:rFonts w:ascii="Calibri" w:cs="Calibri" w:eastAsia="Calibri" w:hAnsi="Calibri"/>
          <w:b w:val="false"/>
          <w:bCs w:val="false"/>
          <w:i w:val="false"/>
          <w:iCs w:val="false"/>
          <w:color w:val="1A1A1A"/>
          <w:sz w:val="21"/>
          <w:szCs w:val="21"/>
        </w:rPr>
        <w:t xml:space="preserve"> Er was geen instantie die de samenhang bewaakte; de stuurgroep stuurde op tijd en geld, niet op inhoudelijke consistentie.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B11.</w:t>
      </w:r>
      <w:r>
        <w:rPr>
          <w:rFonts w:ascii="Calibri" w:cs="Calibri" w:eastAsia="Calibri" w:hAnsi="Calibri"/>
          <w:b w:val="false"/>
          <w:bCs w:val="false"/>
          <w:i w:val="false"/>
          <w:iCs w:val="false"/>
          <w:color w:val="1A1A1A"/>
          <w:sz w:val="21"/>
          <w:szCs w:val="21"/>
        </w:rPr>
        <w:t xml:space="preserve"> Requirements van de afdeling Deelnemersadministratie zijn nooit opgehaald, omdat geen van de deelprojecten zich eigenaar voelde.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B12.</w:t>
      </w:r>
      <w:r>
        <w:rPr>
          <w:rFonts w:ascii="Calibri" w:cs="Calibri" w:eastAsia="Calibri" w:hAnsi="Calibri"/>
          <w:b w:val="false"/>
          <w:bCs w:val="false"/>
          <w:i w:val="false"/>
          <w:iCs w:val="false"/>
          <w:color w:val="1A1A1A"/>
          <w:sz w:val="21"/>
          <w:szCs w:val="21"/>
        </w:rPr>
        <w:t xml:space="preserve"> Herbruikbare diensten uit het bestaande landschap zijn niet benut; twee deelprojecten bouwden functionaliteit die al bestond.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B14.</w:t>
      </w:r>
      <w:r>
        <w:rPr>
          <w:rFonts w:ascii="Calibri" w:cs="Calibri" w:eastAsia="Calibri" w:hAnsi="Calibri"/>
          <w:b w:val="false"/>
          <w:bCs w:val="false"/>
          <w:i w:val="false"/>
          <w:iCs w:val="false"/>
          <w:color w:val="1A1A1A"/>
          <w:sz w:val="21"/>
          <w:szCs w:val="21"/>
        </w:rPr>
        <w:t xml:space="preserve"> Het ontbrak aan een beschrijving van de gewenste eindsituatie waaraan tussenresultaten getoetst konden worden.</w:t>
      </w:r>
    </w:p>
    <w:p>
      <w:pPr>
        <w:spacing w:after="160" w:line="300"/>
        <w:jc w:val="left"/>
      </w:pPr>
      <w:r>
        <w:rPr>
          <w:rFonts w:ascii="Calibri" w:cs="Calibri" w:eastAsia="Calibri" w:hAnsi="Calibri"/>
          <w:b w:val="false"/>
          <w:bCs w:val="false"/>
          <w:i w:val="false"/>
          <w:iCs w:val="false"/>
          <w:color w:val="1A1A1A"/>
          <w:sz w:val="21"/>
          <w:szCs w:val="21"/>
        </w:rPr>
        <w:t xml:space="preserve">## Modeluitwerkingen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1</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Verdedigbare toewijzing: B3 → applicatie (landschapskennis); B5 → technologie; B7 → data; B11 → business (stakeholders/processen); B12 → applicatie; B9 en B14 → samenhang/governance. Toewijzing van B3 aan "samenhang" is ook verdedigbaar — de nabespreking gaat over het argument, niet het hokje.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Sterke kandidaten: </w:t>
      </w:r>
      <w:r>
        <w:rPr>
          <w:rFonts w:ascii="Calibri" w:cs="Calibri" w:eastAsia="Calibri" w:hAnsi="Calibri"/>
          <w:b/>
          <w:bCs/>
          <w:i w:val="false"/>
          <w:iCs w:val="false"/>
          <w:color w:val="1A1A1A"/>
          <w:sz w:val="21"/>
          <w:szCs w:val="21"/>
        </w:rPr>
        <w:t xml:space="preserve">B7</w:t>
      </w:r>
      <w:r>
        <w:rPr>
          <w:rFonts w:ascii="Calibri" w:cs="Calibri" w:eastAsia="Calibri" w:hAnsi="Calibri"/>
          <w:b w:val="false"/>
          <w:bCs w:val="false"/>
          <w:i w:val="false"/>
          <w:iCs w:val="false"/>
          <w:color w:val="1A1A1A"/>
          <w:sz w:val="21"/>
          <w:szCs w:val="21"/>
        </w:rPr>
        <w:t xml:space="preserve">, omdat het definitieconflict pas bij de integratietest bleek en herstelkosten exponentieel stijgen naarmate ontdekking later valt; en </w:t>
      </w:r>
      <w:r>
        <w:rPr>
          <w:rFonts w:ascii="Calibri" w:cs="Calibri" w:eastAsia="Calibri" w:hAnsi="Calibri"/>
          <w:b/>
          <w:bCs/>
          <w:i w:val="false"/>
          <w:iCs w:val="false"/>
          <w:color w:val="1A1A1A"/>
          <w:sz w:val="21"/>
          <w:szCs w:val="21"/>
        </w:rPr>
        <w:t xml:space="preserve">B14</w:t>
      </w:r>
      <w:r>
        <w:rPr>
          <w:rFonts w:ascii="Calibri" w:cs="Calibri" w:eastAsia="Calibri" w:hAnsi="Calibri"/>
          <w:b w:val="false"/>
          <w:bCs w:val="false"/>
          <w:i w:val="false"/>
          <w:iCs w:val="false"/>
          <w:color w:val="1A1A1A"/>
          <w:sz w:val="21"/>
          <w:szCs w:val="21"/>
        </w:rPr>
        <w:t xml:space="preserve">, omdat zonder beschreven eindsituatie álle tussenresultaten onstuurbaar waren — B14 maakt de andere bevindingen mede mogelijk.</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B3 was goedkoop te voorkomen: een landschapsinventarisatie op hoofdlijnen is in dagen te maken en had de impactvraag beantwoord. B9/B14 niet: een werkende samenhangbewaking vergt mandaat, producten en gewenning — dat is de opbouw van een architectuurfunctie zelf, geen tiendagenklus. Kerninzicht: sommige gebreken zijn documentgebreken, andere zijn </w:t>
      </w:r>
      <w:r>
        <w:rPr>
          <w:rFonts w:ascii="Calibri" w:cs="Calibri" w:eastAsia="Calibri" w:hAnsi="Calibri"/>
          <w:b w:val="false"/>
          <w:bCs w:val="false"/>
          <w:i/>
          <w:iCs/>
          <w:color w:val="1A1A1A"/>
          <w:sz w:val="21"/>
          <w:szCs w:val="21"/>
        </w:rPr>
        <w:t xml:space="preserve">functie</w:t>
      </w:r>
      <w:r>
        <w:rPr>
          <w:rFonts w:ascii="Calibri" w:cs="Calibri" w:eastAsia="Calibri" w:hAnsi="Calibri"/>
          <w:b w:val="false"/>
          <w:bCs w:val="false"/>
          <w:i w:val="false"/>
          <w:iCs w:val="false"/>
          <w:color w:val="1A1A1A"/>
          <w:sz w:val="21"/>
          <w:szCs w:val="21"/>
        </w:rPr>
        <w:t xml:space="preserve">gebreken.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2</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Inrichting: het feit dat de deelnemersadministratie en het werkgeversdomein via nachtelijke batchbestanden koppelen — dat ís architectuur, ontworpen of niet. Beschrijving: een koppelvlakkenoverzicht waarop die batchkoppeling met bron, doel en frequentie staat.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Weerwoordkern: "We hebben wél architectuur — dertig jaar aan gegroeide inrichting. Wat we niet hebben is de beschrijving, en dus kunnen we niet redeneren over wat een verandering raakt. Dat is precies waarom WGP 2.0 bij de integratietest verrast werd. Beschrijven is geen bureaucratie; het is de voorwaarde om te kunnen sturen."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Wie de twee verwart, denkt dat "architectuur maken" betekent: documenten produceren. De inrichting verandert daar niets door. Omgekeerd: wie alleen de inrichting verbouwt zonder beschrijving bij te houden, is bij de volgende verandering de kennis weer kwijt. Sturing vereist beide, in die volgorde: kennen, dan besturen.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3</w:t>
      </w:r>
    </w:p>
    <w:p>
      <w:pPr>
        <w:spacing w:after="160" w:line="300"/>
        <w:jc w:val="left"/>
      </w:pPr>
      <w:r>
        <w:rPr>
          <w:rFonts w:ascii="Calibri" w:cs="Calibri" w:eastAsia="Calibri" w:hAnsi="Calibri"/>
          <w:b w:val="false"/>
          <w:bCs w:val="false"/>
          <w:i w:val="false"/>
          <w:iCs w:val="false"/>
          <w:color w:val="1A1A1A"/>
          <w:sz w:val="21"/>
          <w:szCs w:val="21"/>
        </w:rPr>
        <w:t xml:space="preserve">a-b. Modelkeuze: de gehele uitvoeringsorganisatie. Binnen scope komt daarmee de keten administratie–vermogensrapportage, waar het fondsbestuur direct op stuurt; de ketenafbakening (met werkgevers) zou dat ook doen maar introduceert partijen waarover Meridiaan geen zeggenschap heeft — een functie in opbouw moet niet beginnen met kaders voor partijen die zij niet kan aanspreken. Risico van de modelkeuze: werkgeverskoppelingen blijven randverschijnsel, terwijl juist dáár WGP 2.0 strandde; mitigatie: keten als "invloedsfeer" benoemen zonder haar te besturen.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Een expliciete afbakening is toetsbaar en dus corrigeerbaar: wie opschrijft "Deelnemersadministratie valt binnen scope" kan daarop aangesproken worden vóór de integratietest. Een impliciete afbakening wordt pas zichtbaar als zij schade heeft aangericht. Expliciet-maar-fout is herstelbaar; impliciet is onbestuurbaar.</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4</w:t>
      </w:r>
    </w:p>
    <w:p>
      <w:pPr>
        <w:spacing w:after="160" w:line="300"/>
        <w:jc w:val="left"/>
      </w:pPr>
      <w:r>
        <w:rPr>
          <w:rFonts w:ascii="Calibri" w:cs="Calibri" w:eastAsia="Calibri" w:hAnsi="Calibri"/>
          <w:b w:val="false"/>
          <w:bCs w:val="false"/>
          <w:i w:val="false"/>
          <w:iCs w:val="false"/>
          <w:color w:val="1A1A1A"/>
          <w:sz w:val="21"/>
          <w:szCs w:val="21"/>
        </w:rPr>
        <w:t xml:space="preserve">a-b. Modelset: directie ("krijgen we grip op verandertrajecten zonder vertraging?"), manager Werkgeversdiensten ("komt er nu wél een werkend portaal?"), CISO ("worden security-eisen eindelijk vooraf meegenomen?"), hoofd Deelnemersadministratie ("worden wij dit keer wél gehoord?"), DNB ("is de beheersing van het verandervermogen aantoonbaar?"), ondernemingsraad ("wat betekenen standaardisatiekeuzes voor functies en werkdruk?").</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Klassieke spanning: directie (snelheid) versus CISO (zorgvuldigheid vooraf). Modelaanpak: de architectuurfunctie maakt security-eisen onderdeel van de kaders aan de vóórkant (principes, PSA-sjabloon), zodat toetsing achteraf grotendeels vervalt — de spanning wordt niet gekozen maar ontworpen. Dit is regel 3 uit §5.2 op functieniveau.</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 </w:t>
      </w:r>
      <w:r>
        <w:rPr>
          <w:rFonts w:ascii="Calibri" w:cs="Calibri" w:eastAsia="Calibri" w:hAnsi="Calibri"/>
          <w:b w:val="false"/>
          <w:bCs w:val="false"/>
          <w:i w:val="false"/>
          <w:iCs w:val="false"/>
          <w:color w:val="1A1A1A"/>
          <w:sz w:val="21"/>
          <w:szCs w:val="21"/>
        </w:rPr>
        <w:t xml:space="preserve">Meest vergeten: de uitvoerende afdeling zonder projectstem — bij Meridiaan aantoonbaar de Deelnemersadministratie (B11). Kosten: requirements die pas na oplevering blijken, en een afdeling die de architectuurfunctie vanaf dag één wantrouwt.</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5 — observatiepunten</w:t>
      </w:r>
    </w:p>
    <w:p>
      <w:pPr>
        <w:spacing w:after="160" w:line="300"/>
        <w:jc w:val="left"/>
      </w:pPr>
      <w:r>
        <w:rPr>
          <w:rFonts w:ascii="Calibri" w:cs="Calibri" w:eastAsia="Calibri" w:hAnsi="Calibri"/>
          <w:b w:val="false"/>
          <w:bCs w:val="false"/>
          <w:i w:val="false"/>
          <w:iCs w:val="false"/>
          <w:color w:val="1A1A1A"/>
          <w:sz w:val="21"/>
          <w:szCs w:val="21"/>
        </w:rPr>
        <w:t xml:space="preserve">Sterke uitvoering herkent dat de directeur een écht concern heeft (samenhang, kosten) en een aanname doet (één leverancier ⇒ samenhang). De adviseur erkent het concern, toetst de aanname ("één leverancier geeft één contractpartij, geen gedeelde definities — B7 was binnen één organisatie al mogelijk"), en biedt opties: (1) heraanbesteden met vooraf vastgestelde doelarchitectuur en definities, (2) gefaseerd herstarten vanuit het bestaande landschap, (3) eerst de landschaps- en definitiebasis leggen, dan besluiten. Adviseert er één, benoemt trade-offs, en laat het besluit expliciet bij de directeur. Valkuilen om te scoren: in jargon vervallen ("dan hebben we geen canonical data model" — taal van de verkeerde concern), of de aanname van de directeur wegzetten zonder het onderliggende concern te adresseren.</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Beoordelingskader opdracht 6 (peer feedback in deel 2)</w:t>
      </w:r>
    </w:p>
    <w:p>
      <w:pPr>
        <w:spacing w:after="160" w:line="300"/>
        <w:jc w:val="left"/>
      </w:pPr>
      <w:r>
        <w:rPr>
          <w:rFonts w:ascii="Calibri" w:cs="Calibri" w:eastAsia="Calibri" w:hAnsi="Calibri"/>
          <w:b w:val="false"/>
          <w:bCs w:val="false"/>
          <w:i w:val="false"/>
          <w:iCs w:val="false"/>
          <w:color w:val="1A1A1A"/>
          <w:sz w:val="21"/>
          <w:szCs w:val="21"/>
        </w:rPr>
        <w:t xml:space="preserve">Sterk: concreet eerste-kwartaalresultaat dat een gevoeld probleem raakt (bijv. landschapskaart — B3), expliciet "wat wij niet zijn" ("geen extra loket, geen vertragende toets"), bewijs uit de post-mortem. Zwak: waardepropositie in framework-taal ("wij implementeren TOGAF"), beloften zonder termijn, geen afbakening. De peer-feedbackvraag in deel 2: "zou jouw MT na deze pitch capaciteit vrijmaken — waarom (niet)?"</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2026-08-17T11:47:02.890Z</dcterms:created>
  <dcterms:modified xsi:type="dcterms:W3CDTF">2026-08-17T11:47:02.891Z</dcterms:modified>
</cp:coreProperties>
</file>

<file path=docProps/custom.xml><?xml version="1.0" encoding="utf-8"?>
<Properties xmlns="http://schemas.openxmlformats.org/officeDocument/2006/custom-properties" xmlns:vt="http://schemas.openxmlformats.org/officeDocument/2006/docPropsVTypes"/>
</file>