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9</w:t>
      </w:r>
    </w:p>
    <w:p>
      <w:pPr>
        <w:spacing w:after="300"/>
      </w:pPr>
      <w:r>
        <w:rPr>
          <w:rFonts w:ascii="Calibri" w:cs="Calibri" w:eastAsia="Calibri" w:hAnsi="Calibri"/>
          <w:b/>
          <w:bCs/>
          <w:color w:val="14213D"/>
          <w:sz w:val="32"/>
          <w:szCs w:val="32"/>
        </w:rPr>
        <w:t xml:space="preserve">Docentenhandleiding — Fase E t/m H: principes, standaarden en governance-basis</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één dagdeel (4 uur incl. pauze)</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8-16</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deel 1-8; visie-hoofdstukken 6 vooraf ingeleverd (of foto's van overzichtsplaten)</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9, flip-overs, bevindingenflap (compleet vanaf deel 1), parkeerflap (nu grotendeels leeg te maken)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w:t>
      </w:r>
    </w:p>
    <w:p>
      <w:pPr>
        <w:spacing w:after="160" w:line="300"/>
        <w:jc w:val="left"/>
      </w:pPr>
      <w:r>
        <w:rPr>
          <w:rFonts w:ascii="Calibri" w:cs="Calibri" w:eastAsia="Calibri" w:hAnsi="Calibri"/>
          <w:b w:val="false"/>
          <w:bCs w:val="false"/>
          <w:i w:val="false"/>
          <w:iCs w:val="false"/>
          <w:color w:val="1A1A1A"/>
          <w:sz w:val="21"/>
          <w:szCs w:val="21"/>
        </w:rPr>
        <w:t xml:space="preserve">Dit is het slotstuk van de inhoudelijke opbouw: de laatste bevinding (B9) sluit, en het gremium waar sinds deel 7 drie keer naar verwezen is, krijgt eindelijk vorm. Behandel dit dagdeel als een moment met gewicht — de groep heeft acht delen lang bevindingen zien sluiten en cliffhangers zien opbouwen; vandaag komt alles samen. Zeg dat ook met zoveel woorden bij de opening.</w:t>
      </w:r>
    </w:p>
    <w:p>
      <w:pPr>
        <w:spacing w:after="160" w:line="300"/>
        <w:jc w:val="left"/>
      </w:pPr>
      <w:r>
        <w:rPr>
          <w:rFonts w:ascii="Calibri" w:cs="Calibri" w:eastAsia="Calibri" w:hAnsi="Calibri"/>
          <w:b w:val="false"/>
          <w:bCs w:val="false"/>
          <w:i w:val="false"/>
          <w:iCs w:val="false"/>
          <w:color w:val="1A1A1A"/>
          <w:sz w:val="21"/>
          <w:szCs w:val="21"/>
        </w:rPr>
        <w:t xml:space="preserve">Structureel is dit ook het meest "terugverwijzende" dagdeel van het niveau: bijna elke theorieparagraaf citeert een eerder deel. Dat is didactisch opzet, geen herhaling voor de vorm — het laat de groep zien dat de cursus een samenhangend bouwwerk is, precies het punt dat het vak zelf maakt. Benut dat: laat waar mogelijk de groep zélf de verwijzing leggen ("waar zagen we dit patroon eerder?") in plaats van het voor te zeggen.</w:t>
      </w:r>
    </w:p>
    <w:p>
      <w:pPr>
        <w:spacing w:after="160" w:line="300"/>
        <w:jc w:val="left"/>
      </w:pPr>
      <w:r>
        <w:rPr>
          <w:rFonts w:ascii="Calibri" w:cs="Calibri" w:eastAsia="Calibri" w:hAnsi="Calibri"/>
          <w:b/>
          <w:bCs/>
          <w:i w:val="false"/>
          <w:iCs w:val="false"/>
          <w:color w:val="1A1A1A"/>
          <w:sz w:val="21"/>
          <w:szCs w:val="21"/>
        </w:rPr>
        <w:t xml:space="preserve">Bevinding van vandaag:</w:t>
      </w:r>
      <w:r>
        <w:rPr>
          <w:rFonts w:ascii="Calibri" w:cs="Calibri" w:eastAsia="Calibri" w:hAnsi="Calibri"/>
          <w:b w:val="false"/>
          <w:bCs w:val="false"/>
          <w:i w:val="false"/>
          <w:iCs w:val="false"/>
          <w:color w:val="1A1A1A"/>
          <w:sz w:val="21"/>
          <w:szCs w:val="21"/>
        </w:rPr>
        <w:t xml:space="preserve"> B9 — de laatste. Vier van de zeven eerdere afvinkmomenten gebeurden "en profil"; dit is het moment om de hele flap één keer in zijn geheel te laten zien, van deel 1 tot nu.</w:t>
      </w:r>
    </w:p>
    <w:p>
      <w:pPr>
        <w:spacing w:after="160" w:line="300"/>
        <w:jc w:val="left"/>
      </w:pPr>
      <w:r>
        <w:rPr>
          <w:rFonts w:ascii="Calibri" w:cs="Calibri" w:eastAsia="Calibri" w:hAnsi="Calibri"/>
          <w:b/>
          <w:bCs/>
          <w:i w:val="false"/>
          <w:iCs w:val="false"/>
          <w:color w:val="1A1A1A"/>
          <w:sz w:val="21"/>
          <w:szCs w:val="21"/>
        </w:rPr>
        <w:t xml:space="preserve">Doorlopende lijnen die vandaag landen: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"Gremium, inrichting volgt"</w:t>
      </w:r>
      <w:r>
        <w:rPr>
          <w:rFonts w:ascii="Calibri" w:cs="Calibri" w:eastAsia="Calibri" w:hAnsi="Calibri"/>
          <w:b w:val="false"/>
          <w:bCs w:val="false"/>
          <w:i w:val="false"/>
          <w:iCs w:val="false"/>
          <w:color w:val="1A1A1A"/>
          <w:sz w:val="21"/>
          <w:szCs w:val="21"/>
        </w:rPr>
        <w:t xml:space="preserve"> (deel 7, herbevestigd deel 8) — de belofte wordt ingelost in opdracht 4.</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Vaststeller van het standaardenkader</w:t>
      </w:r>
      <w:r>
        <w:rPr>
          <w:rFonts w:ascii="Calibri" w:cs="Calibri" w:eastAsia="Calibri" w:hAnsi="Calibri"/>
          <w:b w:val="false"/>
          <w:bCs w:val="false"/>
          <w:i w:val="false"/>
          <w:iCs w:val="false"/>
          <w:color w:val="1A1A1A"/>
          <w:sz w:val="21"/>
          <w:szCs w:val="21"/>
        </w:rPr>
        <w:t xml:space="preserve"> (deel 7, opdracht 2a: bewust "gremium — inrichting volgt in deel 9") — dit wordt letterlijk een van de eerste besluiten die het ontworpen gremium moet nemen (opdracht 4c).</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Het ondergronds-patroon</w:t>
      </w:r>
      <w:r>
        <w:rPr>
          <w:rFonts w:ascii="Calibri" w:cs="Calibri" w:eastAsia="Calibri" w:hAnsi="Calibri"/>
          <w:b w:val="false"/>
          <w:bCs w:val="false"/>
          <w:i w:val="false"/>
          <w:iCs w:val="false"/>
          <w:color w:val="1A1A1A"/>
          <w:sz w:val="21"/>
          <w:szCs w:val="21"/>
        </w:rPr>
        <w:t xml:space="preserve">, nu voor de vierde keer (begrippen → kopieën → technologie → een te zwaar gremium): de cursus laat de groep dit patroon zelf herkennen zonder het opnieuw uit te leggen.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Capstone:</w:t>
      </w:r>
      <w:r>
        <w:rPr>
          <w:rFonts w:ascii="Calibri" w:cs="Calibri" w:eastAsia="Calibri" w:hAnsi="Calibri"/>
          <w:b w:val="false"/>
          <w:bCs w:val="false"/>
          <w:i w:val="false"/>
          <w:iCs w:val="false"/>
          <w:color w:val="1A1A1A"/>
          <w:sz w:val="21"/>
          <w:szCs w:val="21"/>
        </w:rPr>
        <w:t xml:space="preserve"> hoofdstuk 7 is het laatste voordat deel 10 alles samenbrengt tot de verdediging.</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Slides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0 — peer feedback hoofdstuk 6</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0:10–0:25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Casus: "wie beslist er morgen?" + de volle bevindingenflap</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3–6</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0:25–0:45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architectuurprincipes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7–10</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0:45–1:15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1 — principes formuleren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11</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1:15–1:30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Theorie: fase E en F</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12–14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1:30–1:45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1:45–2:15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 — transitiearchitectuur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2:15–2:30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Theorie: fase G en H</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16–18</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2:30–2:55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 het Architecture Contract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19</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2:55–3:35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 — het gremium ontwerpen + plenaire toets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viertallen → 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20–22</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3:35–3:50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zeven bevindingen teruggelezen (§8)</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23–24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3:50–4:00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Huiswerk + vooruitblik deel 10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25–26</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Uitloopventiel: opdracht 3 kan van 25 naar 15 minuten (alleen onderdeel a; b als nabespreekpunt zonder schriftelijke uitwerking). Nooit inkorten: opdracht 4 — dit is de payoff van drie delen cliffhanger; zonder de volle veertig minuten mist het gremium-ontwerp diepgang en voelt de inlossing goedkoop.</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Casusopening.</w:t>
      </w:r>
      <w:r>
        <w:rPr>
          <w:rFonts w:ascii="Calibri" w:cs="Calibri" w:eastAsia="Calibri" w:hAnsi="Calibri"/>
          <w:b w:val="false"/>
          <w:bCs w:val="false"/>
          <w:i w:val="false"/>
          <w:iCs w:val="false"/>
          <w:color w:val="1A1A1A"/>
          <w:sz w:val="21"/>
          <w:szCs w:val="21"/>
        </w:rPr>
        <w:t xml:space="preserve"> Lees de COO-vraag voor als citaat, langzaam, en laat de laatste zin ("ik wil niet weer een stuurgroep die alleen op tijd en geld let") even hangen voordat u zegt: "dat is bevinding B9. Letterlijk." Toon daarna de bevindingenflap in zijn geheel — alle acht delen aan bevindingen die zijn afgevinkt, met alleen B9 nog open. Dit is een goed moment voor een korte stilte in plaats van meteen door te praten.</w:t>
      </w:r>
    </w:p>
    <w:p>
      <w:pPr>
        <w:spacing w:after="160" w:line="300"/>
        <w:jc w:val="left"/>
      </w:pPr>
      <w:r>
        <w:rPr>
          <w:rFonts w:ascii="Calibri" w:cs="Calibri" w:eastAsia="Calibri" w:hAnsi="Calibri"/>
          <w:b/>
          <w:bCs/>
          <w:i w:val="false"/>
          <w:iCs w:val="false"/>
          <w:color w:val="1A1A1A"/>
          <w:sz w:val="21"/>
          <w:szCs w:val="21"/>
        </w:rPr>
        <w:t xml:space="preserve">Theorie principes.</w:t>
      </w:r>
      <w:r>
        <w:rPr>
          <w:rFonts w:ascii="Calibri" w:cs="Calibri" w:eastAsia="Calibri" w:hAnsi="Calibri"/>
          <w:b w:val="false"/>
          <w:bCs w:val="false"/>
          <w:i w:val="false"/>
          <w:iCs w:val="false"/>
          <w:color w:val="1A1A1A"/>
          <w:sz w:val="21"/>
          <w:szCs w:val="21"/>
        </w:rPr>
        <w:t xml:space="preserve"> De standaard/wens-valkuilen (naast de tabel) zijn het leerzaamste deel — geef er ruim tijd aan vóór opdracht 1, anders leveren groepjes stelselmatig verkapte standaarden of wensen in. Laat de vier voorbeeldprincipes hardop koppelen aan hun bevinding/deel-herkomst door de groep zelf ("welk principe hoort bij B7?") — het is een gratis herhalingsoefening.</w:t>
      </w:r>
    </w:p>
    <w:p>
      <w:pPr>
        <w:spacing w:after="160" w:line="300"/>
        <w:jc w:val="left"/>
      </w:pPr>
      <w:r>
        <w:rPr>
          <w:rFonts w:ascii="Calibri" w:cs="Calibri" w:eastAsia="Calibri" w:hAnsi="Calibri"/>
          <w:b/>
          <w:bCs/>
          <w:i w:val="false"/>
          <w:iCs w:val="false"/>
          <w:color w:val="1A1A1A"/>
          <w:sz w:val="21"/>
          <w:szCs w:val="21"/>
        </w:rPr>
        <w:t xml:space="preserve">Opdracht 1.</w:t>
      </w:r>
      <w:r>
        <w:rPr>
          <w:rFonts w:ascii="Calibri" w:cs="Calibri" w:eastAsia="Calibri" w:hAnsi="Calibri"/>
          <w:b w:val="false"/>
          <w:bCs w:val="false"/>
          <w:i w:val="false"/>
          <w:iCs w:val="false"/>
          <w:color w:val="1A1A1A"/>
          <w:sz w:val="21"/>
          <w:szCs w:val="21"/>
        </w:rPr>
        <w:t xml:space="preserve"> Onderdeel c (ruilen en opsporen) werkt het best als er echt tijdsdruk op staat — vijf minuten, niet meer; de scherpte van "is dit een principe of iets anders" komt juist naar boven onder tijdsdruk. Bij de nabespreking twee of drie sterke principes op de flap verzamelen voor gebruik in hoofdstuk 7.</w:t>
      </w:r>
    </w:p>
    <w:p>
      <w:pPr>
        <w:spacing w:after="160" w:line="300"/>
        <w:jc w:val="left"/>
      </w:pPr>
      <w:r>
        <w:rPr>
          <w:rFonts w:ascii="Calibri" w:cs="Calibri" w:eastAsia="Calibri" w:hAnsi="Calibri"/>
          <w:b/>
          <w:bCs/>
          <w:i w:val="false"/>
          <w:iCs w:val="false"/>
          <w:color w:val="1A1A1A"/>
          <w:sz w:val="21"/>
          <w:szCs w:val="21"/>
        </w:rPr>
        <w:t xml:space="preserve">Theorie E/F.</w:t>
      </w:r>
      <w:r>
        <w:rPr>
          <w:rFonts w:ascii="Calibri" w:cs="Calibri" w:eastAsia="Calibri" w:hAnsi="Calibri"/>
          <w:b w:val="false"/>
          <w:bCs w:val="false"/>
          <w:i w:val="false"/>
          <w:iCs w:val="false"/>
          <w:color w:val="1A1A1A"/>
          <w:sz w:val="21"/>
          <w:szCs w:val="21"/>
        </w:rPr>
        <w:t xml:space="preserve"> Kort houden — dit is grotendeels herhaling met concretisering (deel 2 introduceerde de fasen al). De transitiearchitectuur-driedeling (fase 1/2/3) als voorbeeld tonen, maar niet volledig invullen — dat is opdracht 2.</w:t>
      </w:r>
    </w:p>
    <w:p>
      <w:pPr>
        <w:spacing w:after="160" w:line="300"/>
        <w:jc w:val="left"/>
      </w:pPr>
      <w:r>
        <w:rPr>
          <w:rFonts w:ascii="Calibri" w:cs="Calibri" w:eastAsia="Calibri" w:hAnsi="Calibri"/>
          <w:b/>
          <w:bCs/>
          <w:i w:val="false"/>
          <w:iCs w:val="false"/>
          <w:color w:val="1A1A1A"/>
          <w:sz w:val="21"/>
          <w:szCs w:val="21"/>
        </w:rPr>
        <w:t xml:space="preserve">Opdracht 2.</w:t>
      </w:r>
      <w:r>
        <w:rPr>
          <w:rFonts w:ascii="Calibri" w:cs="Calibri" w:eastAsia="Calibri" w:hAnsi="Calibri"/>
          <w:b w:val="false"/>
          <w:bCs w:val="false"/>
          <w:i w:val="false"/>
          <w:iCs w:val="false"/>
          <w:color w:val="1A1A1A"/>
          <w:sz w:val="21"/>
          <w:szCs w:val="21"/>
        </w:rPr>
        <w:t xml:space="preserve"> De valkuil is een transitiearchitectuur die eigenlijk een projectplanning is (data, sprints, resources). Interventie: "dit is een architectuurbeslissing, geen Gantt-chart — wat staat er, wat niet, wat is het besluitmoment?" Bij c het big-bang-argument laten landen zonder het voor te zeggen; de groep heeft inmiddels genoeg cursus gehad om het zelf te formuleren.</w:t>
      </w:r>
    </w:p>
    <w:p>
      <w:pPr>
        <w:spacing w:after="160" w:line="300"/>
        <w:jc w:val="left"/>
      </w:pPr>
      <w:r>
        <w:rPr>
          <w:rFonts w:ascii="Calibri" w:cs="Calibri" w:eastAsia="Calibri" w:hAnsi="Calibri"/>
          <w:b/>
          <w:bCs/>
          <w:i w:val="false"/>
          <w:iCs w:val="false"/>
          <w:color w:val="1A1A1A"/>
          <w:sz w:val="21"/>
          <w:szCs w:val="21"/>
        </w:rPr>
        <w:t xml:space="preserve">Theorie G/H.</w:t>
      </w:r>
      <w:r>
        <w:rPr>
          <w:rFonts w:ascii="Calibri" w:cs="Calibri" w:eastAsia="Calibri" w:hAnsi="Calibri"/>
          <w:b w:val="false"/>
          <w:bCs w:val="false"/>
          <w:i w:val="false"/>
          <w:iCs w:val="false"/>
          <w:color w:val="1A1A1A"/>
          <w:sz w:val="21"/>
          <w:szCs w:val="21"/>
        </w:rPr>
        <w:t xml:space="preserve"> De herkenning "dit is het afwijkingenproces van deel 7, nu op projectniveau" moet uit de groep komen — stel de vraag expliciet ("waar zagen we dit patroon eerder?") in plaats van het te vertellen.</w:t>
      </w:r>
    </w:p>
    <w:p>
      <w:pPr>
        <w:spacing w:after="160" w:line="300"/>
        <w:jc w:val="left"/>
      </w:pPr>
      <w:r>
        <w:rPr>
          <w:rFonts w:ascii="Calibri" w:cs="Calibri" w:eastAsia="Calibri" w:hAnsi="Calibri"/>
          <w:b/>
          <w:bCs/>
          <w:i w:val="false"/>
          <w:iCs w:val="false"/>
          <w:color w:val="1A1A1A"/>
          <w:sz w:val="21"/>
          <w:szCs w:val="21"/>
        </w:rPr>
        <w:t xml:space="preserve">Opdracht 3.</w:t>
      </w:r>
      <w:r>
        <w:rPr>
          <w:rFonts w:ascii="Calibri" w:cs="Calibri" w:eastAsia="Calibri" w:hAnsi="Calibri"/>
          <w:b w:val="false"/>
          <w:bCs w:val="false"/>
          <w:i w:val="false"/>
          <w:iCs w:val="false"/>
          <w:color w:val="1A1A1A"/>
          <w:sz w:val="21"/>
          <w:szCs w:val="21"/>
        </w:rPr>
        <w:t xml:space="preserve"> Bewaak dat de drie toetsmomenten daadwerkelijk verspreid zijn (niet twee vroeg en één toevallig ook vroeg) — een toetsmoment vlak vóór livegang hoort er expliciet bij, juist omdat "vlak voor het eind" de klassieke plek is waar poortwachterij sluipt.</w:t>
      </w:r>
    </w:p>
    <w:p>
      <w:pPr>
        <w:spacing w:after="160" w:line="300"/>
        <w:jc w:val="left"/>
      </w:pPr>
      <w:r>
        <w:rPr>
          <w:rFonts w:ascii="Calibri" w:cs="Calibri" w:eastAsia="Calibri" w:hAnsi="Calibri"/>
          <w:b/>
          <w:bCs/>
          <w:i w:val="false"/>
          <w:iCs w:val="false"/>
          <w:color w:val="1A1A1A"/>
          <w:sz w:val="21"/>
          <w:szCs w:val="21"/>
        </w:rPr>
        <w:t xml:space="preserve">Opdracht 4 — climax van het dagdeel.</w:t>
      </w:r>
      <w:r>
        <w:rPr>
          <w:rFonts w:ascii="Calibri" w:cs="Calibri" w:eastAsia="Calibri" w:hAnsi="Calibri"/>
          <w:b w:val="false"/>
          <w:bCs w:val="false"/>
          <w:i w:val="false"/>
          <w:iCs w:val="false"/>
          <w:color w:val="1A1A1A"/>
          <w:sz w:val="21"/>
          <w:szCs w:val="21"/>
        </w:rPr>
        <w:t xml:space="preserve"> Veertig minuten, serieus bewaakt. De valkuil is een te grote, te formele samenstelling ("laten we iedereen erbij betrekken") — als een viertal meer dan zes leden voorstelt, vraag door: "wie van hen heeft hier geen mandaat en zit er dus eigenlijk als toehoorder?" Bij de plenaire toets (d) de vraag "vervangt of vult aan?" letterlijk op de flap zetten en elk viertal er hardop tegen laten toetsen. Sluit dit blok af met een moment van erkenning: dit is het laatste grote ontwerpstuk van het niveau.</w:t>
      </w:r>
    </w:p>
    <w:p>
      <w:pPr>
        <w:spacing w:after="160" w:line="300"/>
        <w:jc w:val="left"/>
      </w:pPr>
      <w:r>
        <w:rPr>
          <w:rFonts w:ascii="Calibri" w:cs="Calibri" w:eastAsia="Calibri" w:hAnsi="Calibri"/>
          <w:b/>
          <w:bCs/>
          <w:i w:val="false"/>
          <w:iCs w:val="false"/>
          <w:color w:val="1A1A1A"/>
          <w:sz w:val="21"/>
          <w:szCs w:val="21"/>
        </w:rPr>
        <w:t xml:space="preserve">De bevindingen teruggelezen.</w:t>
      </w:r>
      <w:r>
        <w:rPr>
          <w:rFonts w:ascii="Calibri" w:cs="Calibri" w:eastAsia="Calibri" w:hAnsi="Calibri"/>
          <w:b w:val="false"/>
          <w:bCs w:val="false"/>
          <w:i w:val="false"/>
          <w:iCs w:val="false"/>
          <w:color w:val="1A1A1A"/>
          <w:sz w:val="21"/>
          <w:szCs w:val="21"/>
        </w:rPr>
        <w:t xml:space="preserve"> Dit is het emotionele hoogtepunt van het dagdeel — neem er de tijd voor. Loop de tabel uit de reader (§8) rij voor rij langs en laat per rij een andere deelnemer in één zin het instandhoudingsmechanisme benoemen (niet de oplossing zelf — die kennen ze, de instandhouding is de laatste, moeilijkste laag). Sluit af met de kernzin: "niet het document loste het op — het mechanisme dat het document actueel houdt, deed dat."</w:t>
      </w:r>
    </w:p>
    <w:p>
      <w:pPr>
        <w:spacing w:after="160" w:line="300"/>
        <w:jc w:val="left"/>
      </w:pPr>
      <w:r>
        <w:rPr>
          <w:rFonts w:ascii="Calibri" w:cs="Calibri" w:eastAsia="Calibri" w:hAnsi="Calibri"/>
          <w:b/>
          <w:bCs/>
          <w:i w:val="false"/>
          <w:iCs w:val="false"/>
          <w:color w:val="1A1A1A"/>
          <w:sz w:val="21"/>
          <w:szCs w:val="21"/>
        </w:rPr>
        <w:t xml:space="preserve">Afsluiting.</w:t>
      </w:r>
      <w:r>
        <w:rPr>
          <w:rFonts w:ascii="Calibri" w:cs="Calibri" w:eastAsia="Calibri" w:hAnsi="Calibri"/>
          <w:b w:val="false"/>
          <w:bCs w:val="false"/>
          <w:i w:val="false"/>
          <w:iCs w:val="false"/>
          <w:color w:val="1A1A1A"/>
          <w:sz w:val="21"/>
          <w:szCs w:val="21"/>
        </w:rPr>
        <w:t xml:space="preserve"> Vooruitblik deel 10: examentraining plus de capstone-verdediging — "u heeft nu zeven hoofdstukken; volgende keer wordt dat één verdedigde visie voor de directie."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"Wij hebben al een architectuurboard, maar die doet niks."</w:t>
      </w:r>
      <w:r>
        <w:rPr>
          <w:rFonts w:ascii="Calibri" w:cs="Calibri" w:eastAsia="Calibri" w:hAnsi="Calibri"/>
          <w:b w:val="false"/>
          <w:bCs w:val="false"/>
          <w:i w:val="false"/>
          <w:iCs w:val="false"/>
          <w:color w:val="1A1A1A"/>
          <w:sz w:val="21"/>
          <w:szCs w:val="21"/>
        </w:rPr>
        <w:t xml:space="preserve"> — Herkenbaar en vaak een mandaat- of cadans-probleem: een board zonder mandaat-gedreven samenstelling (§7.1) of zonder lichte, werkende cadans (§7.3) verwordt tot een overleg dat niemand nodig vindt. Vraag door naar wélk van de twee ontbreekt.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"Moet dit gremium ook over de andere architectuurdomeinen (niet-werkgeversdossier) gaan?"</w:t>
      </w:r>
      <w:r>
        <w:rPr>
          <w:rFonts w:ascii="Calibri" w:cs="Calibri" w:eastAsia="Calibri" w:hAnsi="Calibri"/>
          <w:b w:val="false"/>
          <w:bCs w:val="false"/>
          <w:i w:val="false"/>
          <w:iCs w:val="false"/>
          <w:color w:val="1A1A1A"/>
          <w:sz w:val="21"/>
          <w:szCs w:val="21"/>
        </w:rPr>
        <w:t xml:space="preserve"> — Op termijn ja, vandaag scopen we op het dossier conform het SoAW-principe dat door de hele cursus liep; opschalen naar de hele enterprise is precies het onderwerp van niveau 2.</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"Wie zit er namens de ontwikkelaars/het bouwteam in het gremium?"</w:t>
      </w:r>
      <w:r>
        <w:rPr>
          <w:rFonts w:ascii="Calibri" w:cs="Calibri" w:eastAsia="Calibri" w:hAnsi="Calibri"/>
          <w:b w:val="false"/>
          <w:bCs w:val="false"/>
          <w:i w:val="false"/>
          <w:iCs w:val="false"/>
          <w:color w:val="1A1A1A"/>
          <w:sz w:val="21"/>
          <w:szCs w:val="21"/>
        </w:rPr>
        <w:t xml:space="preserve"> — Bewust niemand structureel: het bouwteam is partij bij het Architecture Contract (fase G), niet bij de vaststelling van principes en standaarden — dat zou de slager zijn die zijn eigen vlees keurt. Zij worden gehoord via de toetsmomenten en kunnen escaleren, maar besluiten niet mee over het kader waarbinnen zij zelf beoordeeld worden.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Dit dagdeel kan bij deelnemers uit organisaties zonder enige governance een gevoel van "dit is nog zo ver weg voor ons" oproepen. Erken dat expliciet: een gremium begint klein — soms is het eerste gremium letterlijk twee mensen die maandelijks een half uur samen het log doorlopen. De vorm schaalt, de functie (iemand die op samenhang let) niet.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Antwoordindicaties</w:t>
      </w:r>
    </w:p>
    <w:p>
      <w:pPr>
        <w:spacing w:after="160" w:line="300"/>
        <w:jc w:val="left"/>
      </w:pPr>
      <w:r>
        <w:rPr>
          <w:rFonts w:ascii="Calibri" w:cs="Calibri" w:eastAsia="Calibri" w:hAnsi="Calibri"/>
          <w:b w:val="false"/>
          <w:bCs w:val="false"/>
          <w:i w:val="false"/>
          <w:iCs w:val="false"/>
          <w:color w:val="1A1A1A"/>
          <w:sz w:val="21"/>
          <w:szCs w:val="21"/>
        </w:rPr>
        <w:t xml:space="preserve">Modeluitwerkingen in het werkboek. Aanvullend: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1c</w:t>
      </w:r>
      <w:r>
        <w:rPr>
          <w:rFonts w:ascii="Calibri" w:cs="Calibri" w:eastAsia="Calibri" w:hAnsi="Calibri"/>
          <w:b w:val="false"/>
          <w:bCs w:val="false"/>
          <w:i w:val="false"/>
          <w:iCs w:val="false"/>
          <w:color w:val="1A1A1A"/>
          <w:sz w:val="21"/>
          <w:szCs w:val="21"/>
        </w:rPr>
        <w:t xml:space="preserve">: het meest voorkomende foute inzendsel is een vermomde standaard; het herkenningsteken is een technologienaam in de stelling.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2c</w:t>
      </w:r>
      <w:r>
        <w:rPr>
          <w:rFonts w:ascii="Calibri" w:cs="Calibri" w:eastAsia="Calibri" w:hAnsi="Calibri"/>
          <w:b w:val="false"/>
          <w:bCs w:val="false"/>
          <w:i w:val="false"/>
          <w:iCs w:val="false"/>
          <w:color w:val="1A1A1A"/>
          <w:sz w:val="21"/>
          <w:szCs w:val="21"/>
        </w:rPr>
        <w:t xml:space="preserve">: het argument moet minstens de omkeerbaarheid noemen (een tussenstap is terug te draaien, een big bang niet); "het is risicovoller" alleen is te vaag om te scoren als volledig antwoord.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4a</w:t>
      </w:r>
      <w:r>
        <w:rPr>
          <w:rFonts w:ascii="Calibri" w:cs="Calibri" w:eastAsia="Calibri" w:hAnsi="Calibri"/>
          <w:b w:val="false"/>
          <w:bCs w:val="false"/>
          <w:i w:val="false"/>
          <w:iCs w:val="false"/>
          <w:color w:val="1A1A1A"/>
          <w:sz w:val="21"/>
          <w:szCs w:val="21"/>
        </w:rPr>
        <w:t xml:space="preserve">: een sterke samenstelling is beargumenteerd tot vijf posities; meer dan zes is bijna altijd een signaal dat mandaat en kennis niet scherp zijn gescheiden.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4e</w:t>
      </w:r>
      <w:r>
        <w:rPr>
          <w:rFonts w:ascii="Calibri" w:cs="Calibri" w:eastAsia="Calibri" w:hAnsi="Calibri"/>
          <w:b w:val="false"/>
          <w:bCs w:val="false"/>
          <w:i w:val="false"/>
          <w:iCs w:val="false"/>
          <w:color w:val="1A1A1A"/>
          <w:sz w:val="21"/>
          <w:szCs w:val="21"/>
        </w:rPr>
        <w:t xml:space="preserve">: de zin die u zoekt: "een groot, zwaar gremium wordt zelf de vertragende poort — en legitieme vragen gaan dan ondergronds."</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volgende bijeenkomst</w:t>
      </w:r>
    </w:p>
    <w:p>
      <w:pPr>
        <w:spacing w:after="160" w:line="300"/>
        <w:jc w:val="left"/>
      </w:pPr>
      <w:r>
        <w:rPr>
          <w:rFonts w:ascii="Calibri" w:cs="Calibri" w:eastAsia="Calibri" w:hAnsi="Calibri"/>
          <w:b w:val="false"/>
          <w:bCs w:val="false"/>
          <w:i w:val="false"/>
          <w:iCs w:val="false"/>
          <w:color w:val="1A1A1A"/>
          <w:sz w:val="21"/>
          <w:szCs w:val="21"/>
        </w:rPr>
        <w:t xml:space="preserve">Hoofdstukken 7 vooraf laten inleveren; scan vooral op de bevindingentabel (§8) — die is het scharnier naar de capstone-opdracht in deel 10. Voor deel 10: alle zeven hoofdstukken van elke deelnemer moeten compleet en bij de hand zijn (fysiek of digitaal) — dat is het bronmateriaal voor de capstone-visie en -verdediging. Reserveer voor deel 10 extra voorbereidingstijd: rolkaarten voor de directie-verdediging moeten klaarliggen. Parkeerflap: dit is het moment om te controleren of er nog open parkeerpunten zijn die niet vanzelf in deel 10 aan bod komen — bespreek die zo nodig kort na afloop met individuele deelnemers.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9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2026-08-17T11:47:30.621Z</dcterms:created>
  <dcterms:modified xsi:type="dcterms:W3CDTF">2026-08-17T11:47:30.622Z</dcterms:modified>
</cp:coreProperties>
</file>

<file path=docProps/custom.xml><?xml version="1.0" encoding="utf-8"?>
<Properties xmlns="http://schemas.openxmlformats.org/officeDocument/2006/custom-properties" xmlns:vt="http://schemas.openxmlformats.org/officeDocument/2006/docPropsVTypes"/>
</file>