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9</w:t>
      </w:r>
    </w:p>
    <w:p>
      <w:pPr>
        <w:spacing w:after="300"/>
      </w:pPr>
      <w:r>
        <w:rPr>
          <w:rFonts w:ascii="Calibri" w:cs="Calibri" w:eastAsia="Calibri" w:hAnsi="Calibri"/>
          <w:b/>
          <w:bCs/>
          <w:color w:val="14213D"/>
          <w:sz w:val="40"/>
          <w:szCs w:val="40"/>
        </w:rPr>
        <w:t xml:space="preserve">Fase E t/m H: principes, standaarden en governance-basis</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Deze cursus bereidt voor op TOGAF® EA Foundation (OGEA-101) en ArchiMate® 3 Part 1 en vervangt het officiële examenmateriaal van The Open Group niet. Examenstof: architectuurprincipes (vorm en functie), de fasen E t/m H op hoofdlijnen, het Architecture Contract en het Governance-begrip binnen TOGAF.</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architectuurprincipe correct formuleren in de standaardvorm (naam, stelling, rationale, implicaties) en het onderscheiden van een regel of een wens;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fasen E en F op hoofdlijnen toepassen: werkpakketten, transitiearchitecturen en een migratieplan voor een concrete opgave;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fasen G en H op hoofdlijnen toepassen: het Architecture Contract, toetsing, afwijkingen en wijzigingsbeoordeling;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architectuurgremium ontwerpen: samenstelling, mandaat, besluitvormingsproces en escalatieroute;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hoe governance de instandhoudingsclausules uit de delen 3-8 daadwerkelijk operationaliseert;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laatste post-mortembevinding (B9) sluiten en benoemen wat er blijvend georganiseerd moet zijn.</w:t>
      </w:r>
    </w:p>
    <w:p>
      <w:pPr>
        <w:spacing w:after="160" w:line="300"/>
        <w:jc w:val="left"/>
      </w:pPr>
      <w:r>
        <w:rPr>
          <w:rFonts w:ascii="Calibri" w:cs="Calibri" w:eastAsia="Calibri" w:hAnsi="Calibri"/>
          <w:b/>
          <w:bCs/>
          <w:i w:val="false"/>
          <w:iCs w:val="false"/>
          <w:color w:val="1A1A1A"/>
          <w:sz w:val="21"/>
          <w:szCs w:val="21"/>
        </w:rPr>
        <w:t xml:space="preserve">Bevinding van vandaag:</w:t>
      </w:r>
      <w:r>
        <w:rPr>
          <w:rFonts w:ascii="Calibri" w:cs="Calibri" w:eastAsia="Calibri" w:hAnsi="Calibri"/>
          <w:b w:val="false"/>
          <w:bCs w:val="false"/>
          <w:i w:val="false"/>
          <w:iCs w:val="false"/>
          <w:color w:val="1A1A1A"/>
          <w:sz w:val="21"/>
          <w:szCs w:val="21"/>
        </w:rPr>
        <w:t xml:space="preserve"> B9 — "er was geen instantie die de samenhang bewaakte; de stuurgroep stuurde op tijd en geld, niet op inhoudelijke consistentie." De laatste. Na vandaag bestaat die instantie: het gremium waar sinds deel 7 naar verwezen is.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"en wie beslist er morgen?"</w:t>
      </w:r>
    </w:p>
    <w:p>
      <w:pPr>
        <w:spacing w:after="160" w:line="300"/>
        <w:jc w:val="left"/>
      </w:pPr>
      <w:r>
        <w:rPr>
          <w:rFonts w:ascii="Calibri" w:cs="Calibri" w:eastAsia="Calibri" w:hAnsi="Calibri"/>
          <w:b w:val="false"/>
          <w:bCs w:val="false"/>
          <w:i w:val="false"/>
          <w:iCs w:val="false"/>
          <w:color w:val="1A1A1A"/>
          <w:sz w:val="21"/>
          <w:szCs w:val="21"/>
        </w:rPr>
        <w:t xml:space="preserve">De visie staat, het landschap is getekend, het standaardenkader is vastgesteld. In de MT-vergadering waarin dit alles wordt goedgekeurd, stelt de COO de vraag die het hele dagdeel draagt: </w:t>
      </w:r>
      <w:r>
        <w:rPr>
          <w:rFonts w:ascii="Calibri" w:cs="Calibri" w:eastAsia="Calibri" w:hAnsi="Calibri"/>
          <w:b w:val="false"/>
          <w:bCs w:val="false"/>
          <w:i/>
          <w:iCs/>
          <w:color w:val="1A1A1A"/>
          <w:sz w:val="21"/>
          <w:szCs w:val="21"/>
        </w:rPr>
        <w:t xml:space="preserve">"Mooi. Maar over acht maanden, als het kanaal wordt gebouwd, gaat er iets gebeuren waar niemand van ons nu aan gedacht heeft — een leverancier die iets anders voorstelt, een team dat een uitzondering wil, een wet die verandert. Wie beslist dan? Ik wil niet weer een stuurgroep die alleen op tijd en geld let."</w:t>
      </w:r>
    </w:p>
    <w:p>
      <w:pPr>
        <w:spacing w:after="160" w:line="300"/>
        <w:jc w:val="left"/>
      </w:pPr>
      <w:r>
        <w:rPr>
          <w:rFonts w:ascii="Calibri" w:cs="Calibri" w:eastAsia="Calibri" w:hAnsi="Calibri"/>
          <w:b w:val="false"/>
          <w:bCs w:val="false"/>
          <w:i w:val="false"/>
          <w:iCs w:val="false"/>
          <w:color w:val="1A1A1A"/>
          <w:sz w:val="21"/>
          <w:szCs w:val="21"/>
        </w:rPr>
        <w:t xml:space="preserve">Dat laatste zinnetje is bevinding B9, letterlijk terug in de mond van de opdrachtgever. Alles wat dit deel behandelt — principes, transitiearchitecturen, het migratieplan, het contract, en vooral het gremium — is het antwoord op die ene vraag: </w:t>
      </w:r>
      <w:r>
        <w:rPr>
          <w:rFonts w:ascii="Calibri" w:cs="Calibri" w:eastAsia="Calibri" w:hAnsi="Calibri"/>
          <w:b w:val="false"/>
          <w:bCs w:val="false"/>
          <w:i/>
          <w:iCs/>
          <w:color w:val="1A1A1A"/>
          <w:sz w:val="21"/>
          <w:szCs w:val="21"/>
        </w:rPr>
        <w:t xml:space="preserve">hoe zorgen we dat er morgen, en over een jaar, en over vijf jaar, nog steeds iemand is die op samenhang stuurt, niet alleen op voortgang?</w:t>
      </w:r>
    </w:p>
    <w:p>
      <w:pPr>
        <w:spacing w:after="24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7185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Architectuurprincipes: het kompas tussen de besluiten door</w:t>
      </w:r>
    </w:p>
    <w:p>
      <w:pPr>
        <w:pStyle w:val="Heading3"/>
        <w:spacing w:after="120" w:before="240"/>
      </w:pPr>
      <w:r>
        <w:rPr>
          <w:rFonts w:ascii="Calibri" w:cs="Calibri" w:eastAsia="Calibri" w:hAnsi="Calibri"/>
          <w:b/>
          <w:bCs/>
          <w:color w:val="14213D"/>
          <w:sz w:val="22"/>
          <w:szCs w:val="22"/>
        </w:rPr>
        <w:t xml:space="preserve">2.1 Waarom principes, en waarom nu pas</w:t>
      </w:r>
    </w:p>
    <w:p>
      <w:pPr>
        <w:spacing w:after="160" w:line="300"/>
        <w:jc w:val="left"/>
      </w:pPr>
      <w:r>
        <w:rPr>
          <w:rFonts w:ascii="Calibri" w:cs="Calibri" w:eastAsia="Calibri" w:hAnsi="Calibri"/>
          <w:b w:val="false"/>
          <w:bCs w:val="false"/>
          <w:i w:val="false"/>
          <w:iCs w:val="false"/>
          <w:color w:val="1A1A1A"/>
          <w:sz w:val="21"/>
          <w:szCs w:val="21"/>
        </w:rPr>
        <w:t xml:space="preserve">Preliminary (deel 1, §3.1) kondigde principes aan als onderdeel van het "huis op orde"; zij komen hier omdat je nu pas weet waaróver ze moeten gaan — de visie, het landschap en het kader hebben de stof geleverd. Een </w:t>
      </w:r>
      <w:r>
        <w:rPr>
          <w:rFonts w:ascii="Calibri" w:cs="Calibri" w:eastAsia="Calibri" w:hAnsi="Calibri"/>
          <w:b/>
          <w:bCs/>
          <w:i w:val="false"/>
          <w:iCs w:val="false"/>
          <w:color w:val="1A1A1A"/>
          <w:sz w:val="21"/>
          <w:szCs w:val="21"/>
        </w:rPr>
        <w:t xml:space="preserve">architectuurprincipe</w:t>
      </w:r>
      <w:r>
        <w:rPr>
          <w:rFonts w:ascii="Calibri" w:cs="Calibri" w:eastAsia="Calibri" w:hAnsi="Calibri"/>
          <w:b w:val="false"/>
          <w:bCs w:val="false"/>
          <w:i w:val="false"/>
          <w:iCs w:val="false"/>
          <w:color w:val="1A1A1A"/>
          <w:sz w:val="21"/>
          <w:szCs w:val="21"/>
        </w:rPr>
        <w:t xml:space="preserve"> is een blijvende richtlijn die keuzes stuurt zonder ze te fixeren: geen ontwerp, geen standaard (die staat in de Standards Library, deel 7), maar het </w:t>
      </w:r>
      <w:r>
        <w:rPr>
          <w:rFonts w:ascii="Calibri" w:cs="Calibri" w:eastAsia="Calibri" w:hAnsi="Calibri"/>
          <w:b w:val="false"/>
          <w:bCs w:val="false"/>
          <w:i/>
          <w:iCs/>
          <w:color w:val="1A1A1A"/>
          <w:sz w:val="21"/>
          <w:szCs w:val="21"/>
        </w:rPr>
        <w:t xml:space="preserve">waarom</w:t>
      </w:r>
      <w:r>
        <w:rPr>
          <w:rFonts w:ascii="Calibri" w:cs="Calibri" w:eastAsia="Calibri" w:hAnsi="Calibri"/>
          <w:b w:val="false"/>
          <w:bCs w:val="false"/>
          <w:i w:val="false"/>
          <w:iCs w:val="false"/>
          <w:color w:val="1A1A1A"/>
          <w:sz w:val="21"/>
          <w:szCs w:val="21"/>
        </w:rPr>
        <w:t xml:space="preserve"> dat achter beide hoort te liggen.</w:t>
      </w:r>
    </w:p>
    <w:p>
      <w:pPr>
        <w:spacing w:after="160" w:line="300"/>
        <w:jc w:val="left"/>
      </w:pPr>
      <w:r>
        <w:rPr>
          <w:rFonts w:ascii="Calibri" w:cs="Calibri" w:eastAsia="Calibri" w:hAnsi="Calibri"/>
          <w:b w:val="false"/>
          <w:bCs w:val="false"/>
          <w:i w:val="false"/>
          <w:iCs w:val="false"/>
          <w:color w:val="1A1A1A"/>
          <w:sz w:val="21"/>
          <w:szCs w:val="21"/>
        </w:rPr>
        <w:t xml:space="preserve">Het verschil met een standaard is scherp te maken: een standaard zegt "gebruik de IAM-Suite voor identiteitsbeheer" (concreet, technologiegebonden, vervangbaar); een principe zegt "identiteit wordt centraal en eenmalig vastgesteld, nooit lokaal gedupliceerd" (blijvend, technologieonafhankelijk, verklaart </w:t>
      </w:r>
      <w:r>
        <w:rPr>
          <w:rFonts w:ascii="Calibri" w:cs="Calibri" w:eastAsia="Calibri" w:hAnsi="Calibri"/>
          <w:b w:val="false"/>
          <w:bCs w:val="false"/>
          <w:i/>
          <w:iCs/>
          <w:color w:val="1A1A1A"/>
          <w:sz w:val="21"/>
          <w:szCs w:val="21"/>
        </w:rPr>
        <w:t xml:space="preserve">waarom</w:t>
      </w:r>
      <w:r>
        <w:rPr>
          <w:rFonts w:ascii="Calibri" w:cs="Calibri" w:eastAsia="Calibri" w:hAnsi="Calibri"/>
          <w:b w:val="false"/>
          <w:bCs w:val="false"/>
          <w:i w:val="false"/>
          <w:iCs w:val="false"/>
          <w:color w:val="1A1A1A"/>
          <w:sz w:val="21"/>
          <w:szCs w:val="21"/>
        </w:rPr>
        <w:t xml:space="preserve"> de IAM-Suite-standaard bestaat). Verdwijnt de IAM-Suite morgen, dan verdwijnt het principe niet — het kiest de volgende standaard.</w:t>
      </w:r>
    </w:p>
    <w:p>
      <w:pPr>
        <w:pStyle w:val="Heading3"/>
        <w:spacing w:after="120" w:before="240"/>
      </w:pPr>
      <w:r>
        <w:rPr>
          <w:rFonts w:ascii="Calibri" w:cs="Calibri" w:eastAsia="Calibri" w:hAnsi="Calibri"/>
          <w:b/>
          <w:bCs/>
          <w:color w:val="14213D"/>
          <w:sz w:val="22"/>
          <w:szCs w:val="22"/>
        </w:rPr>
        <w:t xml:space="preserve">2.2 De standaardvorm</w:t>
      </w:r>
    </w:p>
    <w:p>
      <w:pPr>
        <w:spacing w:after="160" w:line="300"/>
        <w:jc w:val="left"/>
      </w:pPr>
      <w:r>
        <w:rPr>
          <w:rFonts w:ascii="Calibri" w:cs="Calibri" w:eastAsia="Calibri" w:hAnsi="Calibri"/>
          <w:b w:val="false"/>
          <w:bCs w:val="false"/>
          <w:i w:val="false"/>
          <w:iCs w:val="false"/>
          <w:color w:val="1A1A1A"/>
          <w:sz w:val="21"/>
          <w:szCs w:val="21"/>
        </w:rPr>
        <w:t xml:space="preserve">TOGAF schrijft een vaste vorm voor, en het examen toetst die vorm net zo streng als de inhoud: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Naam:</w:t>
      </w:r>
      <w:r>
        <w:rPr>
          <w:rFonts w:ascii="Calibri" w:cs="Calibri" w:eastAsia="Calibri" w:hAnsi="Calibri"/>
          <w:b w:val="false"/>
          <w:bCs w:val="false"/>
          <w:i w:val="false"/>
          <w:iCs w:val="false"/>
          <w:color w:val="1A1A1A"/>
          <w:sz w:val="21"/>
          <w:szCs w:val="21"/>
        </w:rPr>
        <w:t xml:space="preserve"> kort, memorabel, geen jargon.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Stelling (statement):</w:t>
      </w:r>
      <w:r>
        <w:rPr>
          <w:rFonts w:ascii="Calibri" w:cs="Calibri" w:eastAsia="Calibri" w:hAnsi="Calibri"/>
          <w:b w:val="false"/>
          <w:bCs w:val="false"/>
          <w:i w:val="false"/>
          <w:iCs w:val="false"/>
          <w:color w:val="1A1A1A"/>
          <w:sz w:val="21"/>
          <w:szCs w:val="21"/>
        </w:rPr>
        <w:t xml:space="preserve"> één zin, ondubbelzinnig, zonder uitzonderingen erin verstopt.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Rationale:</w:t>
      </w:r>
      <w:r>
        <w:rPr>
          <w:rFonts w:ascii="Calibri" w:cs="Calibri" w:eastAsia="Calibri" w:hAnsi="Calibri"/>
          <w:b w:val="false"/>
          <w:bCs w:val="false"/>
          <w:i w:val="false"/>
          <w:iCs w:val="false"/>
          <w:color w:val="1A1A1A"/>
          <w:sz w:val="21"/>
          <w:szCs w:val="21"/>
        </w:rPr>
        <w:t xml:space="preserve"> waaróm dit principe — vaak direct te herleiden tot een post-mortembevinding of een concern.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Implicaties:</w:t>
      </w:r>
      <w:r>
        <w:rPr>
          <w:rFonts w:ascii="Calibri" w:cs="Calibri" w:eastAsia="Calibri" w:hAnsi="Calibri"/>
          <w:b w:val="false"/>
          <w:bCs w:val="false"/>
          <w:i w:val="false"/>
          <w:iCs w:val="false"/>
          <w:color w:val="1A1A1A"/>
          <w:sz w:val="21"/>
          <w:szCs w:val="21"/>
        </w:rPr>
        <w:t xml:space="preserve"> wat dit betekent voor besluiten, systemen en gedrag — inclusief wat het </w:t>
      </w:r>
      <w:r>
        <w:rPr>
          <w:rFonts w:ascii="Calibri" w:cs="Calibri" w:eastAsia="Calibri" w:hAnsi="Calibri"/>
          <w:b w:val="false"/>
          <w:bCs w:val="false"/>
          <w:i/>
          <w:iCs/>
          <w:color w:val="1A1A1A"/>
          <w:sz w:val="21"/>
          <w:szCs w:val="21"/>
        </w:rPr>
        <w:t xml:space="preserve">kost</w:t>
      </w:r>
      <w:r>
        <w:rPr>
          <w:rFonts w:ascii="Calibri" w:cs="Calibri" w:eastAsia="Calibri" w:hAnsi="Calibri"/>
          <w:b w:val="false"/>
          <w:bCs w:val="false"/>
          <w:i w:val="false"/>
          <w:iCs w:val="false"/>
          <w:color w:val="1A1A1A"/>
          <w:sz w:val="21"/>
          <w:szCs w:val="21"/>
        </w:rPr>
        <w:t xml:space="preserve"> (elk goed principe kost iets; een principe zonder implicaties is een wens).</w:t>
      </w:r>
    </w:p>
    <w:p>
      <w:pPr>
        <w:spacing w:after="160" w:line="300"/>
        <w:jc w:val="left"/>
      </w:pPr>
      <w:r>
        <w:rPr>
          <w:rFonts w:ascii="Calibri" w:cs="Calibri" w:eastAsia="Calibri" w:hAnsi="Calibri"/>
          <w:b w:val="false"/>
          <w:bCs w:val="false"/>
          <w:i w:val="false"/>
          <w:iCs w:val="false"/>
          <w:color w:val="1A1A1A"/>
          <w:sz w:val="21"/>
          <w:szCs w:val="21"/>
        </w:rPr>
        <w:t xml:space="preserve">Voor Meridiaan, direct uit de cursusstof opgebouwd: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Naam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Stelling</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Rationale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Implicaties</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Eén waarheid per gegeven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Elk gegeven heeft precies één bronregistratie; alle overige plekken zijn gekende, gevoede kopieën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Rechtstreeks uit B7 en de bronnenkaart (deel 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Nieuwe systemen mogen nooit ongemerkt een tweede bron worden; elke kopie wordt geregistreerd en gevoed</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Vermogens vóór systemen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Investeringsbeslissingen volgen de capability-kaart, niet de systeemwens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Uit de COO-gap-vraag en het B12-antwoord (deel 4, 6)</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Een projectvoorstel zonder capability-koppeling wordt niet in behandeling genomen</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Afwijken mag, verdwijnen niet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Elke uitzondering op een standaard of principe is expliciet, tijdelijk en gelogd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Uit het afwijkingenproces (deel 7) en het ondergronds-patroon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Er bestaat geen "stille" uitzondering; wie er een vindt, meldt haar</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architect adviseert, de business beslist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Architectuur bereidt besluiten voor; het mandaat om te besluiten ligt bij de business-eigenaar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Uit deel 1, §5.2</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Elk architectuurdocument benoemt wie het besluit neemt — nooit de architect zelf</w:t>
            </w:r>
          </w:p>
        </w:tc>
      </w:tr>
    </w:tbl>
    <w:p>
      <w:pPr>
        <w:spacing w:before="200"/>
      </w:pP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Veelgemaakte fout.</w:t>
            </w:r>
            <w:r>
              <w:rPr>
                <w:rFonts w:ascii="Calibri" w:cs="Calibri" w:eastAsia="Calibri" w:hAnsi="Calibri"/>
                <w:b w:val="false"/>
                <w:bCs w:val="false"/>
                <w:i/>
                <w:iCs/>
                <w:color w:val="14213D"/>
                <w:sz w:val="20"/>
                <w:szCs w:val="20"/>
              </w:rPr>
              <w:t xml:space="preserve"> Een principe dat eigenlijk een standaard is ("wij gebruiken PremiePlus") veroudert bij de eerstvolgende systeemwissel. Een principe dat eigenlijk een wens is zonder implicaties ("wij streven naar kwaliteit") stuurt niets. Toets elk principe: overleeft het een technologiewissel, en kost het iemand iets?</w:t>
            </w:r>
          </w:p>
        </w:tc>
      </w:tr>
    </w:tbl>
    <w:p>
      <w:pPr>
        <w:spacing w:after="160" w:line="300"/>
        <w:jc w:val="left"/>
      </w:pPr>
      <w:r>
        <w:rPr>
          <w:rFonts w:ascii="Calibri" w:cs="Calibri" w:eastAsia="Calibri" w:hAnsi="Calibri"/>
          <w:b w:val="false"/>
          <w:bCs w:val="false"/>
          <w:i w:val="false"/>
          <w:iCs w:val="false"/>
          <w:color w:val="1A1A1A"/>
          <w:sz w:val="21"/>
          <w:szCs w:val="21"/>
        </w:rPr>
        <w:t xml:space="preserve">Principes worden </w:t>
      </w:r>
      <w:r>
        <w:rPr>
          <w:rFonts w:ascii="Calibri" w:cs="Calibri" w:eastAsia="Calibri" w:hAnsi="Calibri"/>
          <w:b/>
          <w:bCs/>
          <w:i w:val="false"/>
          <w:iCs w:val="false"/>
          <w:color w:val="1A1A1A"/>
          <w:sz w:val="21"/>
          <w:szCs w:val="21"/>
        </w:rPr>
        <w:t xml:space="preserve">vastgesteld</w:t>
      </w:r>
      <w:r>
        <w:rPr>
          <w:rFonts w:ascii="Calibri" w:cs="Calibri" w:eastAsia="Calibri" w:hAnsi="Calibri"/>
          <w:b w:val="false"/>
          <w:bCs w:val="false"/>
          <w:i w:val="false"/>
          <w:iCs w:val="false"/>
          <w:color w:val="1A1A1A"/>
          <w:sz w:val="21"/>
          <w:szCs w:val="21"/>
        </w:rPr>
        <w:t xml:space="preserve">, niet door de architect alleen bedacht — en daarmee is de brug naar §7 gelegd: wie stelt ze vast, en wie handhaaft ze als een project ze negeert?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Fase E: van gap naar werkpakket</w:t>
      </w:r>
    </w:p>
    <w:p>
      <w:pPr>
        <w:spacing w:after="160" w:line="300"/>
        <w:jc w:val="left"/>
      </w:pPr>
      <w:r>
        <w:rPr>
          <w:rFonts w:ascii="Calibri" w:cs="Calibri" w:eastAsia="Calibri" w:hAnsi="Calibri"/>
          <w:b w:val="false"/>
          <w:bCs w:val="false"/>
          <w:i w:val="false"/>
          <w:iCs w:val="false"/>
          <w:color w:val="1A1A1A"/>
          <w:sz w:val="21"/>
          <w:szCs w:val="21"/>
        </w:rPr>
        <w:t xml:space="preserve">Fase E (deel 2, §3.6) zet de gaps uit fase B-D om in uitvoerbare stappen. Voor het werkgeversdossier, nu concreet: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Werkpakketten:</w:t>
      </w:r>
      <w:r>
        <w:rPr>
          <w:rFonts w:ascii="Calibri" w:cs="Calibri" w:eastAsia="Calibri" w:hAnsi="Calibri"/>
          <w:b w:val="false"/>
          <w:bCs w:val="false"/>
          <w:i w:val="false"/>
          <w:iCs w:val="false"/>
          <w:color w:val="1A1A1A"/>
          <w:sz w:val="21"/>
          <w:szCs w:val="21"/>
        </w:rPr>
        <w:t xml:space="preserve"> "nieuw aanleverkanaal bouwen", "PremiePlus-koppelvlakken ontsluiten", "PA-Macro-kennis migreren", "oud portaal uitfaseren" (het advies uit deel 6 wordt hier een pakket met een eigenaar en een plek in de planning).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Transitiearchitecturen:</w:t>
      </w:r>
      <w:r>
        <w:rPr>
          <w:rFonts w:ascii="Calibri" w:cs="Calibri" w:eastAsia="Calibri" w:hAnsi="Calibri"/>
          <w:b w:val="false"/>
          <w:bCs w:val="false"/>
          <w:i w:val="false"/>
          <w:iCs w:val="false"/>
          <w:color w:val="1A1A1A"/>
          <w:sz w:val="21"/>
          <w:szCs w:val="21"/>
        </w:rPr>
        <w:t xml:space="preserve"> Meridiaan springt niet in één weekend van baseline naar target. Een realistische tussenstap: </w:t>
      </w:r>
      <w:r>
        <w:rPr>
          <w:rFonts w:ascii="Calibri" w:cs="Calibri" w:eastAsia="Calibri" w:hAnsi="Calibri"/>
          <w:b w:val="false"/>
          <w:bCs w:val="false"/>
          <w:i/>
          <w:iCs/>
          <w:color w:val="1A1A1A"/>
          <w:sz w:val="21"/>
          <w:szCs w:val="21"/>
        </w:rPr>
        <w:t xml:space="preserve">fase 1</w:t>
      </w:r>
      <w:r>
        <w:rPr>
          <w:rFonts w:ascii="Calibri" w:cs="Calibri" w:eastAsia="Calibri" w:hAnsi="Calibri"/>
          <w:b w:val="false"/>
          <w:bCs w:val="false"/>
          <w:i w:val="false"/>
          <w:iCs w:val="false"/>
          <w:color w:val="1A1A1A"/>
          <w:sz w:val="21"/>
          <w:szCs w:val="21"/>
        </w:rPr>
        <w:t xml:space="preserve"> — nieuw kanaal live, oud portaal read-only (het vangnet-scenario uit het uitfaseringsadvies); </w:t>
      </w:r>
      <w:r>
        <w:rPr>
          <w:rFonts w:ascii="Calibri" w:cs="Calibri" w:eastAsia="Calibri" w:hAnsi="Calibri"/>
          <w:b w:val="false"/>
          <w:bCs w:val="false"/>
          <w:i/>
          <w:iCs/>
          <w:color w:val="1A1A1A"/>
          <w:sz w:val="21"/>
          <w:szCs w:val="21"/>
        </w:rPr>
        <w:t xml:space="preserve">fase 2</w:t>
      </w:r>
      <w:r>
        <w:rPr>
          <w:rFonts w:ascii="Calibri" w:cs="Calibri" w:eastAsia="Calibri" w:hAnsi="Calibri"/>
          <w:b w:val="false"/>
          <w:bCs w:val="false"/>
          <w:i w:val="false"/>
          <w:iCs w:val="false"/>
          <w:color w:val="1A1A1A"/>
          <w:sz w:val="21"/>
          <w:szCs w:val="21"/>
        </w:rPr>
        <w:t xml:space="preserve"> — oud portaal uit, PA-Macro-kennis volledig in het kanaal; </w:t>
      </w:r>
      <w:r>
        <w:rPr>
          <w:rFonts w:ascii="Calibri" w:cs="Calibri" w:eastAsia="Calibri" w:hAnsi="Calibri"/>
          <w:b w:val="false"/>
          <w:bCs w:val="false"/>
          <w:i/>
          <w:iCs/>
          <w:color w:val="1A1A1A"/>
          <w:sz w:val="21"/>
          <w:szCs w:val="21"/>
        </w:rPr>
        <w:t xml:space="preserve">fase 3</w:t>
      </w:r>
      <w:r>
        <w:rPr>
          <w:rFonts w:ascii="Calibri" w:cs="Calibri" w:eastAsia="Calibri" w:hAnsi="Calibri"/>
          <w:b w:val="false"/>
          <w:bCs w:val="false"/>
          <w:i w:val="false"/>
          <w:iCs w:val="false"/>
          <w:color w:val="1A1A1A"/>
          <w:sz w:val="21"/>
          <w:szCs w:val="21"/>
        </w:rPr>
        <w:t xml:space="preserve"> — volledige ontsluiting, standaarden overal verplicht in plaats van aanbevolen. Elke tussenstap is zelf een kleine, coherente architectuur — geen half afgebouwd niemandsland.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Hergebruikbesluiten:</w:t>
      </w:r>
      <w:r>
        <w:rPr>
          <w:rFonts w:ascii="Calibri" w:cs="Calibri" w:eastAsia="Calibri" w:hAnsi="Calibri"/>
          <w:b w:val="false"/>
          <w:bCs w:val="false"/>
          <w:i w:val="false"/>
          <w:iCs w:val="false"/>
          <w:color w:val="1A1A1A"/>
          <w:sz w:val="21"/>
          <w:szCs w:val="21"/>
        </w:rPr>
        <w:t xml:space="preserve"> hier valt definitief de ABB→SBB-vertaling (deel 2, §5): welke behoefte (bijvoorbeeld "regelbeheer", de dienst die in deel 7 uit de PA-Macro-analyse ontstond) krijgt welke concrete invulling.</w:t>
      </w:r>
    </w:p>
    <w:p>
      <w:pPr>
        <w:spacing w:after="160" w:line="300"/>
        <w:jc w:val="left"/>
      </w:pPr>
      <w:r>
        <w:rPr>
          <w:rFonts w:ascii="Calibri" w:cs="Calibri" w:eastAsia="Calibri" w:hAnsi="Calibri"/>
          <w:b w:val="false"/>
          <w:bCs w:val="false"/>
          <w:i w:val="false"/>
          <w:iCs w:val="false"/>
          <w:color w:val="1A1A1A"/>
          <w:sz w:val="21"/>
          <w:szCs w:val="21"/>
        </w:rPr>
        <w:t xml:space="preserve">De transitiearchitectuur is het instrument dat de directie geruststelt zonder de complexiteit te verbergen: elke fase is een besluitmoment, geen groot-bang-gok ineens.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Fase F: het migratieplan landt in de organisatie</w:t>
      </w:r>
    </w:p>
    <w:p>
      <w:pPr>
        <w:spacing w:after="160" w:line="300"/>
        <w:jc w:val="left"/>
      </w:pPr>
      <w:r>
        <w:rPr>
          <w:rFonts w:ascii="Calibri" w:cs="Calibri" w:eastAsia="Calibri" w:hAnsi="Calibri"/>
          <w:b w:val="false"/>
          <w:bCs w:val="false"/>
          <w:i w:val="false"/>
          <w:iCs w:val="false"/>
          <w:color w:val="1A1A1A"/>
          <w:sz w:val="21"/>
          <w:szCs w:val="21"/>
        </w:rPr>
        <w:t xml:space="preserve">Fase F (deel 2, §3.7) confronteert de werkpakketten met de werkelijkheid: budgetcycli, capaciteit, andere projecten. Het resultaat is het </w:t>
      </w:r>
      <w:r>
        <w:rPr>
          <w:rFonts w:ascii="Calibri" w:cs="Calibri" w:eastAsia="Calibri" w:hAnsi="Calibri"/>
          <w:b/>
          <w:bCs/>
          <w:i w:val="false"/>
          <w:iCs w:val="false"/>
          <w:color w:val="1A1A1A"/>
          <w:sz w:val="21"/>
          <w:szCs w:val="21"/>
        </w:rPr>
        <w:t xml:space="preserve">Implementation and Migration Plan</w:t>
      </w:r>
      <w:r>
        <w:rPr>
          <w:rFonts w:ascii="Calibri" w:cs="Calibri" w:eastAsia="Calibri" w:hAnsi="Calibri"/>
          <w:b w:val="false"/>
          <w:bCs w:val="false"/>
          <w:i w:val="false"/>
          <w:iCs w:val="false"/>
          <w:color w:val="1A1A1A"/>
          <w:sz w:val="21"/>
          <w:szCs w:val="21"/>
        </w:rPr>
        <w:t xml:space="preserve"> — en de architectuurbijdrage daaraan is specifiek: niet de projectplanning zelf (dat is projectmanagement), maar de </w:t>
      </w:r>
      <w:r>
        <w:rPr>
          <w:rFonts w:ascii="Calibri" w:cs="Calibri" w:eastAsia="Calibri" w:hAnsi="Calibri"/>
          <w:b/>
          <w:bCs/>
          <w:i w:val="false"/>
          <w:iCs w:val="false"/>
          <w:color w:val="1A1A1A"/>
          <w:sz w:val="21"/>
          <w:szCs w:val="21"/>
        </w:rPr>
        <w:t xml:space="preserve">afhankelijkheden en volgordelogica</w:t>
      </w:r>
      <w:r>
        <w:rPr>
          <w:rFonts w:ascii="Calibri" w:cs="Calibri" w:eastAsia="Calibri" w:hAnsi="Calibri"/>
          <w:b w:val="false"/>
          <w:bCs w:val="false"/>
          <w:i w:val="false"/>
          <w:iCs w:val="false"/>
          <w:color w:val="1A1A1A"/>
          <w:sz w:val="21"/>
          <w:szCs w:val="21"/>
        </w:rPr>
        <w:t xml:space="preserve"> die alleen vanuit de architectuur zichtbaar zijn. "Het nieuwe kanaal kan niet live vóórdat de IAM-Suite de nieuwe identiteitsdienst draagt" is een architectuurafhankelijkheid; "team X heeft in mei geen capaciteit" is een planningsfeit. Beide horen in het plan, uit verschillende bronnen.</w:t>
      </w:r>
    </w:p>
    <w:p>
      <w:pPr>
        <w:spacing w:after="160" w:line="300"/>
        <w:jc w:val="left"/>
      </w:pPr>
      <w:r>
        <w:rPr>
          <w:rFonts w:ascii="Calibri" w:cs="Calibri" w:eastAsia="Calibri" w:hAnsi="Calibri"/>
          <w:b w:val="false"/>
          <w:bCs w:val="false"/>
          <w:i w:val="false"/>
          <w:iCs w:val="false"/>
          <w:color w:val="1A1A1A"/>
          <w:sz w:val="21"/>
          <w:szCs w:val="21"/>
        </w:rPr>
        <w:t xml:space="preserve">Prioritering gebeurt langs bekende criteria: risico (welk werkpakket lost de grootste bevinding op — het B7-herstelwerk uit deel 4 weegt zwaar), afhankelijkheid (wat moet eerst), en waarde (wat levert het snelst meetbaar resultaat conform de doelen uit hoofdstuk 1 van de visie). Een plan dat alleen op "wat is het makkelijkst" prioriteert, herhaalt in het klein de fout van WGP 2.0: bouwen wat kan, niet wat moet.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Fase G: het contract en de toetsing</w:t>
      </w:r>
    </w:p>
    <w:p>
      <w:pPr>
        <w:spacing w:after="160" w:line="300"/>
        <w:jc w:val="left"/>
      </w:pPr>
      <w:r>
        <w:rPr>
          <w:rFonts w:ascii="Calibri" w:cs="Calibri" w:eastAsia="Calibri" w:hAnsi="Calibri"/>
          <w:b w:val="false"/>
          <w:bCs w:val="false"/>
          <w:i w:val="false"/>
          <w:iCs w:val="false"/>
          <w:color w:val="1A1A1A"/>
          <w:sz w:val="21"/>
          <w:szCs w:val="21"/>
        </w:rPr>
        <w:t xml:space="preserve">Fase G (deel 2, §3.8) is waar architectuur en realisatie elkaar structureel ontmoeten. Het kerninstrument is het </w:t>
      </w:r>
      <w:r>
        <w:rPr>
          <w:rFonts w:ascii="Calibri" w:cs="Calibri" w:eastAsia="Calibri" w:hAnsi="Calibri"/>
          <w:b/>
          <w:bCs/>
          <w:i w:val="false"/>
          <w:iCs w:val="false"/>
          <w:color w:val="1A1A1A"/>
          <w:sz w:val="21"/>
          <w:szCs w:val="21"/>
        </w:rPr>
        <w:t xml:space="preserve">Architecture Contract</w:t>
      </w:r>
      <w:r>
        <w:rPr>
          <w:rFonts w:ascii="Calibri" w:cs="Calibri" w:eastAsia="Calibri" w:hAnsi="Calibri"/>
          <w:b w:val="false"/>
          <w:bCs w:val="false"/>
          <w:i w:val="false"/>
          <w:iCs w:val="false"/>
          <w:color w:val="1A1A1A"/>
          <w:sz w:val="21"/>
          <w:szCs w:val="21"/>
        </w:rPr>
        <w:t xml:space="preserve">: een afspraak tussen de architectuurfunctie en het bouwende team (intern of extern) over wat er gebouwd wordt, binnen welke kaders, en hoe wordt getoetst. Herken de vorm — het is het afwijkingenproces van deel 7, nu toegepast op een heel project in plaats van één technologiekeuze: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Vooraf:</w:t>
      </w:r>
      <w:r>
        <w:rPr>
          <w:rFonts w:ascii="Calibri" w:cs="Calibri" w:eastAsia="Calibri" w:hAnsi="Calibri"/>
          <w:b w:val="false"/>
          <w:bCs w:val="false"/>
          <w:i w:val="false"/>
          <w:iCs w:val="false"/>
          <w:color w:val="1A1A1A"/>
          <w:sz w:val="21"/>
          <w:szCs w:val="21"/>
        </w:rPr>
        <w:t xml:space="preserve"> het contract legt vast welke principes, standaarden en doelarchitectuur-elementen gelden voor dít werkpakket.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Onderweg:</w:t>
      </w:r>
      <w:r>
        <w:rPr>
          <w:rFonts w:ascii="Calibri" w:cs="Calibri" w:eastAsia="Calibri" w:hAnsi="Calibri"/>
          <w:b w:val="false"/>
          <w:bCs w:val="false"/>
          <w:i w:val="false"/>
          <w:iCs w:val="false"/>
          <w:color w:val="1A1A1A"/>
          <w:sz w:val="21"/>
          <w:szCs w:val="21"/>
        </w:rPr>
        <w:t xml:space="preserve"> toetsmomenten (niet aan het eind, dan is bijsturen duur — dezelfde economie als in deel 3, §6) waarop de architectuurfunctie </w:t>
      </w:r>
      <w:r>
        <w:rPr>
          <w:rFonts w:ascii="Calibri" w:cs="Calibri" w:eastAsia="Calibri" w:hAnsi="Calibri"/>
          <w:b/>
          <w:bCs/>
          <w:i w:val="false"/>
          <w:iCs w:val="false"/>
          <w:color w:val="1A1A1A"/>
          <w:sz w:val="21"/>
          <w:szCs w:val="21"/>
        </w:rPr>
        <w:t xml:space="preserve">adviseert</w:t>
      </w:r>
      <w:r>
        <w:rPr>
          <w:rFonts w:ascii="Calibri" w:cs="Calibri" w:eastAsia="Calibri" w:hAnsi="Calibri"/>
          <w:b w:val="false"/>
          <w:bCs w:val="false"/>
          <w:i w:val="false"/>
          <w:iCs w:val="false"/>
          <w:color w:val="1A1A1A"/>
          <w:sz w:val="21"/>
          <w:szCs w:val="21"/>
        </w:rPr>
        <w:t xml:space="preserve">, niet </w:t>
      </w:r>
      <w:r>
        <w:rPr>
          <w:rFonts w:ascii="Calibri" w:cs="Calibri" w:eastAsia="Calibri" w:hAnsi="Calibri"/>
          <w:b/>
          <w:bCs/>
          <w:i w:val="false"/>
          <w:iCs w:val="false"/>
          <w:color w:val="1A1A1A"/>
          <w:sz w:val="21"/>
          <w:szCs w:val="21"/>
        </w:rPr>
        <w:t xml:space="preserve">beslist</w:t>
      </w:r>
      <w:r>
        <w:rPr>
          <w:rFonts w:ascii="Calibri" w:cs="Calibri" w:eastAsia="Calibri" w:hAnsi="Calibri"/>
          <w:b w:val="false"/>
          <w:bCs w:val="false"/>
          <w:i w:val="false"/>
          <w:iCs w:val="false"/>
          <w:color w:val="1A1A1A"/>
          <w:sz w:val="21"/>
          <w:szCs w:val="21"/>
        </w:rPr>
        <w:t xml:space="preserve"> (het vierde principe uit §2.2, in actie).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Bij afwijking:</w:t>
      </w:r>
      <w:r>
        <w:rPr>
          <w:rFonts w:ascii="Calibri" w:cs="Calibri" w:eastAsia="Calibri" w:hAnsi="Calibri"/>
          <w:b w:val="false"/>
          <w:bCs w:val="false"/>
          <w:i w:val="false"/>
          <w:iCs w:val="false"/>
          <w:color w:val="1A1A1A"/>
          <w:sz w:val="21"/>
          <w:szCs w:val="21"/>
        </w:rPr>
        <w:t xml:space="preserve"> hetzelfde proces als deel 7 — beargumenteerd, zichtbare kosten, vervaldatum, in het log.</w:t>
      </w:r>
    </w:p>
    <w:p>
      <w:pPr>
        <w:spacing w:after="160" w:line="300"/>
        <w:jc w:val="left"/>
      </w:pPr>
      <w:r>
        <w:rPr>
          <w:rFonts w:ascii="Calibri" w:cs="Calibri" w:eastAsia="Calibri" w:hAnsi="Calibri"/>
          <w:b w:val="false"/>
          <w:bCs w:val="false"/>
          <w:i w:val="false"/>
          <w:iCs w:val="false"/>
          <w:color w:val="1A1A1A"/>
          <w:sz w:val="21"/>
          <w:szCs w:val="21"/>
        </w:rPr>
        <w:t xml:space="preserve">Dit is het antwoord op de poortwachter-versus-adviseur-spanning uit deel 1, §5.2 en deel 3, §6: toetsing ís nodig (zonder haar herhaalt zich B9), maar toetsing die alleen aan het eind "nee" zegt, is poortwachterij. Toetsing die vroeg en herhaald adviseert, is architectuur die haar waarde bewijst in plaats van beweert.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Fase H: de architectuur levend houden</w:t>
      </w:r>
    </w:p>
    <w:p>
      <w:pPr>
        <w:spacing w:after="160" w:line="300"/>
        <w:jc w:val="left"/>
      </w:pPr>
      <w:r>
        <w:rPr>
          <w:rFonts w:ascii="Calibri" w:cs="Calibri" w:eastAsia="Calibri" w:hAnsi="Calibri"/>
          <w:b w:val="false"/>
          <w:bCs w:val="false"/>
          <w:i w:val="false"/>
          <w:iCs w:val="false"/>
          <w:color w:val="1A1A1A"/>
          <w:sz w:val="21"/>
          <w:szCs w:val="21"/>
        </w:rPr>
        <w:t xml:space="preserve">Fase H (deel 2, §3.9) is waar de cyclus zichzelf hervat. Voor het werkgeversdossier na livegang: wijzigingsverzoeken (een nieuwe wettelijke eis, een fusie bij een grote werkgever, een leverancier die stopt) komen binnen, worden beoordeeld op impact, en krijgen een route — klein: verwerken binnen de bestaande architectuur; groot: een nieuwe ADM-cyclus, met een scope die </w:t>
      </w:r>
      <w:r>
        <w:rPr>
          <w:rFonts w:ascii="Calibri" w:cs="Calibri" w:eastAsia="Calibri" w:hAnsi="Calibri"/>
          <w:b w:val="false"/>
          <w:bCs w:val="false"/>
          <w:i/>
          <w:iCs/>
          <w:color w:val="1A1A1A"/>
          <w:sz w:val="21"/>
          <w:szCs w:val="21"/>
        </w:rPr>
        <w:t xml:space="preserve">dit keer</w:t>
      </w:r>
      <w:r>
        <w:rPr>
          <w:rFonts w:ascii="Calibri" w:cs="Calibri" w:eastAsia="Calibri" w:hAnsi="Calibri"/>
          <w:b w:val="false"/>
          <w:bCs w:val="false"/>
          <w:i w:val="false"/>
          <w:iCs w:val="false"/>
          <w:color w:val="1A1A1A"/>
          <w:sz w:val="21"/>
          <w:szCs w:val="21"/>
        </w:rPr>
        <w:t xml:space="preserve"> wél vanaf fase A wordt bepaald (in plaats van, zoals bij WGP 2.0, meteen bij de oplossing te beginnen).</w:t>
      </w:r>
    </w:p>
    <w:p>
      <w:pPr>
        <w:spacing w:after="160" w:line="300"/>
        <w:jc w:val="left"/>
      </w:pPr>
      <w:r>
        <w:rPr>
          <w:rFonts w:ascii="Calibri" w:cs="Calibri" w:eastAsia="Calibri" w:hAnsi="Calibri"/>
          <w:b w:val="false"/>
          <w:bCs w:val="false"/>
          <w:i w:val="false"/>
          <w:iCs w:val="false"/>
          <w:color w:val="1A1A1A"/>
          <w:sz w:val="21"/>
          <w:szCs w:val="21"/>
        </w:rPr>
        <w:t xml:space="preserve">Fase H is ook het moment waarop de </w:t>
      </w:r>
      <w:r>
        <w:rPr>
          <w:rFonts w:ascii="Calibri" w:cs="Calibri" w:eastAsia="Calibri" w:hAnsi="Calibri"/>
          <w:b/>
          <w:bCs/>
          <w:i w:val="false"/>
          <w:iCs w:val="false"/>
          <w:color w:val="1A1A1A"/>
          <w:sz w:val="21"/>
          <w:szCs w:val="21"/>
        </w:rPr>
        <w:t xml:space="preserve">waarde van de architectuurfunctie</w:t>
      </w:r>
      <w:r>
        <w:rPr>
          <w:rFonts w:ascii="Calibri" w:cs="Calibri" w:eastAsia="Calibri" w:hAnsi="Calibri"/>
          <w:b w:val="false"/>
          <w:bCs w:val="false"/>
          <w:i w:val="false"/>
          <w:iCs w:val="false"/>
          <w:color w:val="1A1A1A"/>
          <w:sz w:val="21"/>
          <w:szCs w:val="21"/>
        </w:rPr>
        <w:t xml:space="preserve"> zichtbaar moet worden — niet als zelfrechtvaardiging, maar omdat een functie die haar waarde niet kan tonen, haar volgende budgetronde verliest (deel 1, §3.2: de businesscase is een blijvende afweging, geen automatisme). Meetbare signalen: minder herstelwerk (de heat map van deel 4, opnieuw ingekleurd, groener), minder afwijkingen zonder proces (het log toont het), snellere doorlooptijd van wijzigingsverzoeken.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Het gremium: waar de cliffhanger landt</w:t>
      </w:r>
    </w:p>
    <w:p>
      <w:pPr>
        <w:spacing w:after="160" w:line="300"/>
        <w:jc w:val="left"/>
      </w:pPr>
      <w:r>
        <w:rPr>
          <w:rFonts w:ascii="Calibri" w:cs="Calibri" w:eastAsia="Calibri" w:hAnsi="Calibri"/>
          <w:b w:val="false"/>
          <w:bCs w:val="false"/>
          <w:i w:val="false"/>
          <w:iCs w:val="false"/>
          <w:color w:val="1A1A1A"/>
          <w:sz w:val="21"/>
          <w:szCs w:val="21"/>
        </w:rPr>
        <w:t xml:space="preserve">Drie keer is ernaar verwezen — "gremium, inrichting volgt in deel 9" (deel 7), het model-eigenaarschap dat naar hier verwijst (deel 8). Hier de invulling: het </w:t>
      </w:r>
      <w:r>
        <w:rPr>
          <w:rFonts w:ascii="Calibri" w:cs="Calibri" w:eastAsia="Calibri" w:hAnsi="Calibri"/>
          <w:b/>
          <w:bCs/>
          <w:i w:val="false"/>
          <w:iCs w:val="false"/>
          <w:color w:val="1A1A1A"/>
          <w:sz w:val="21"/>
          <w:szCs w:val="21"/>
        </w:rPr>
        <w:t xml:space="preserve">architectuurgremium</w:t>
      </w:r>
      <w:r>
        <w:rPr>
          <w:rFonts w:ascii="Calibri" w:cs="Calibri" w:eastAsia="Calibri" w:hAnsi="Calibri"/>
          <w:b w:val="false"/>
          <w:bCs w:val="false"/>
          <w:i w:val="false"/>
          <w:iCs w:val="false"/>
          <w:color w:val="1A1A1A"/>
          <w:sz w:val="21"/>
          <w:szCs w:val="21"/>
        </w:rPr>
        <w:t xml:space="preserve"> (in veel organisaties: architectuurboard, of bij Meridiaan's schaal wellicht een vast agendapunt in een bestaand overleg — de vorm past zich aan de organisatiegrootte aan, de functie niet).</w:t>
      </w:r>
    </w:p>
    <w:p>
      <w:pPr>
        <w:pStyle w:val="Heading3"/>
        <w:spacing w:after="120" w:before="240"/>
      </w:pPr>
      <w:r>
        <w:rPr>
          <w:rFonts w:ascii="Calibri" w:cs="Calibri" w:eastAsia="Calibri" w:hAnsi="Calibri"/>
          <w:b/>
          <w:bCs/>
          <w:color w:val="14213D"/>
          <w:sz w:val="22"/>
          <w:szCs w:val="22"/>
        </w:rPr>
        <w:t xml:space="preserve">7.1 Samenstelling</w:t>
      </w:r>
    </w:p>
    <w:p>
      <w:pPr>
        <w:spacing w:after="160" w:line="300"/>
        <w:jc w:val="left"/>
      </w:pPr>
      <w:r>
        <w:rPr>
          <w:rFonts w:ascii="Calibri" w:cs="Calibri" w:eastAsia="Calibri" w:hAnsi="Calibri"/>
          <w:b w:val="false"/>
          <w:bCs w:val="false"/>
          <w:i w:val="false"/>
          <w:iCs w:val="false"/>
          <w:color w:val="1A1A1A"/>
          <w:sz w:val="21"/>
          <w:szCs w:val="21"/>
        </w:rPr>
        <w:t xml:space="preserve">Geen los orgaan van architecten alleen — dat zou een tweede stuurgroep worden die alleen over architectuur gaat in plaats van over tijd en geld, en evenmin de oplossing. De werkzame samenstelling combineert </w:t>
      </w:r>
      <w:r>
        <w:rPr>
          <w:rFonts w:ascii="Calibri" w:cs="Calibri" w:eastAsia="Calibri" w:hAnsi="Calibri"/>
          <w:b/>
          <w:bCs/>
          <w:i w:val="false"/>
          <w:iCs w:val="false"/>
          <w:color w:val="1A1A1A"/>
          <w:sz w:val="21"/>
          <w:szCs w:val="21"/>
        </w:rPr>
        <w:t xml:space="preserve">mandaat</w:t>
      </w:r>
      <w:r>
        <w:rPr>
          <w:rFonts w:ascii="Calibri" w:cs="Calibri" w:eastAsia="Calibri" w:hAnsi="Calibri"/>
          <w:b w:val="false"/>
          <w:bCs w:val="false"/>
          <w:i w:val="false"/>
          <w:iCs w:val="false"/>
          <w:color w:val="1A1A1A"/>
          <w:sz w:val="21"/>
          <w:szCs w:val="21"/>
        </w:rPr>
        <w:t xml:space="preserve"> en </w:t>
      </w:r>
      <w:r>
        <w:rPr>
          <w:rFonts w:ascii="Calibri" w:cs="Calibri" w:eastAsia="Calibri" w:hAnsi="Calibri"/>
          <w:b/>
          <w:bCs/>
          <w:i w:val="false"/>
          <w:iCs w:val="false"/>
          <w:color w:val="1A1A1A"/>
          <w:sz w:val="21"/>
          <w:szCs w:val="21"/>
        </w:rPr>
        <w:t xml:space="preserve">kennis</w:t>
      </w:r>
      <w:r>
        <w:rPr>
          <w:rFonts w:ascii="Calibri" w:cs="Calibri" w:eastAsia="Calibri" w:hAnsi="Calibri"/>
          <w:b w:val="false"/>
          <w:bCs w:val="false"/>
          <w:i w:val="false"/>
          <w:iCs w:val="false"/>
          <w:color w:val="1A1A1A"/>
          <w:sz w:val="21"/>
          <w:szCs w:val="21"/>
        </w:rPr>
        <w:t xml:space="preserve">: de business-eigenaren van de geraakte domeinen (deel 5 en 6 — zij die de knoppen hebben), de architectuurfunctie (die de samenhang bewaakt en adviseert), en een vertegenwoordiger van de opdrachtgever/directie (die uiteindelijk voor de business het laatste woord heeft bij principiële geschillen). Voor Meridiaan: de manager Werkgeversdiensten, de manager Deelnemersadministratie (grensbegrip-belanghebbende, deel 5!), de CISO, de architectuurfunctie, en een COO-mandaat.</w:t>
      </w:r>
    </w:p>
    <w:p>
      <w:pPr>
        <w:pStyle w:val="Heading3"/>
        <w:spacing w:after="120" w:before="240"/>
      </w:pPr>
      <w:r>
        <w:rPr>
          <w:rFonts w:ascii="Calibri" w:cs="Calibri" w:eastAsia="Calibri" w:hAnsi="Calibri"/>
          <w:b/>
          <w:bCs/>
          <w:color w:val="14213D"/>
          <w:sz w:val="22"/>
          <w:szCs w:val="22"/>
        </w:rPr>
        <w:t xml:space="preserve">7.2 Mandaat: wat het gremium wél en niet doet</w:t>
      </w:r>
    </w:p>
    <w:p>
      <w:pPr>
        <w:spacing w:after="160" w:line="300"/>
        <w:jc w:val="left"/>
      </w:pPr>
      <w:r>
        <w:rPr>
          <w:rFonts w:ascii="Calibri" w:cs="Calibri" w:eastAsia="Calibri" w:hAnsi="Calibri"/>
          <w:b w:val="false"/>
          <w:bCs w:val="false"/>
          <w:i w:val="false"/>
          <w:iCs w:val="false"/>
          <w:color w:val="1A1A1A"/>
          <w:sz w:val="21"/>
          <w:szCs w:val="21"/>
        </w:rPr>
        <w:t xml:space="preserve">Het gremium </w:t>
      </w:r>
      <w:r>
        <w:rPr>
          <w:rFonts w:ascii="Calibri" w:cs="Calibri" w:eastAsia="Calibri" w:hAnsi="Calibri"/>
          <w:b/>
          <w:bCs/>
          <w:i w:val="false"/>
          <w:iCs w:val="false"/>
          <w:color w:val="1A1A1A"/>
          <w:sz w:val="21"/>
          <w:szCs w:val="21"/>
        </w:rPr>
        <w:t xml:space="preserve">stelt vast</w:t>
      </w:r>
      <w:r>
        <w:rPr>
          <w:rFonts w:ascii="Calibri" w:cs="Calibri" w:eastAsia="Calibri" w:hAnsi="Calibri"/>
          <w:b w:val="false"/>
          <w:bCs w:val="false"/>
          <w:i w:val="false"/>
          <w:iCs w:val="false"/>
          <w:color w:val="1A1A1A"/>
          <w:sz w:val="21"/>
          <w:szCs w:val="21"/>
        </w:rPr>
        <w:t xml:space="preserve">: principes, standaarden (de vaststeller uit deel 7 die daar bewust openbleef), en het besluit bij afwijkingsaanvragen die de architectuurfunctie escaleert (deel 7, opdracht 3d — "sterke aanvragen die zich herhalen"). Het gremium </w:t>
      </w:r>
      <w:r>
        <w:rPr>
          <w:rFonts w:ascii="Calibri" w:cs="Calibri" w:eastAsia="Calibri" w:hAnsi="Calibri"/>
          <w:b/>
          <w:bCs/>
          <w:i w:val="false"/>
          <w:iCs w:val="false"/>
          <w:color w:val="1A1A1A"/>
          <w:sz w:val="21"/>
          <w:szCs w:val="21"/>
        </w:rPr>
        <w:t xml:space="preserve">beslist niet</w:t>
      </w:r>
      <w:r>
        <w:rPr>
          <w:rFonts w:ascii="Calibri" w:cs="Calibri" w:eastAsia="Calibri" w:hAnsi="Calibri"/>
          <w:b w:val="false"/>
          <w:bCs w:val="false"/>
          <w:i w:val="false"/>
          <w:iCs w:val="false"/>
          <w:color w:val="1A1A1A"/>
          <w:sz w:val="21"/>
          <w:szCs w:val="21"/>
        </w:rPr>
        <w:t xml:space="preserve"> over individuele projectkeuzes binnen de kaders (dat verstikt, en herhaalt de poortwachterfout) en </w:t>
      </w:r>
      <w:r>
        <w:rPr>
          <w:rFonts w:ascii="Calibri" w:cs="Calibri" w:eastAsia="Calibri" w:hAnsi="Calibri"/>
          <w:b/>
          <w:bCs/>
          <w:i w:val="false"/>
          <w:iCs w:val="false"/>
          <w:color w:val="1A1A1A"/>
          <w:sz w:val="21"/>
          <w:szCs w:val="21"/>
        </w:rPr>
        <w:t xml:space="preserve">vervangt niet</w:t>
      </w:r>
      <w:r>
        <w:rPr>
          <w:rFonts w:ascii="Calibri" w:cs="Calibri" w:eastAsia="Calibri" w:hAnsi="Calibri"/>
          <w:b w:val="false"/>
          <w:bCs w:val="false"/>
          <w:i w:val="false"/>
          <w:iCs w:val="false"/>
          <w:color w:val="1A1A1A"/>
          <w:sz w:val="21"/>
          <w:szCs w:val="21"/>
        </w:rPr>
        <w:t xml:space="preserve"> de stuurgroep die op tijd en geld stuurt — het bewaakt ernaast, op samenhang. Precies de aanvulling die B9 miste: niet in plaats van de stuurgroep, maar wat de stuurgroep nooit deed.</w:t>
      </w:r>
    </w:p>
    <w:p>
      <w:pPr>
        <w:pStyle w:val="Heading3"/>
        <w:spacing w:after="120" w:before="240"/>
      </w:pPr>
      <w:r>
        <w:rPr>
          <w:rFonts w:ascii="Calibri" w:cs="Calibri" w:eastAsia="Calibri" w:hAnsi="Calibri"/>
          <w:b/>
          <w:bCs/>
          <w:color w:val="14213D"/>
          <w:sz w:val="22"/>
          <w:szCs w:val="22"/>
        </w:rPr>
        <w:t xml:space="preserve">7.3 Besluitvorming en escalatie</w:t>
      </w:r>
    </w:p>
    <w:p>
      <w:pPr>
        <w:spacing w:after="160" w:line="300"/>
        <w:jc w:val="left"/>
      </w:pPr>
      <w:r>
        <w:rPr>
          <w:rFonts w:ascii="Calibri" w:cs="Calibri" w:eastAsia="Calibri" w:hAnsi="Calibri"/>
          <w:b w:val="false"/>
          <w:bCs w:val="false"/>
          <w:i w:val="false"/>
          <w:iCs w:val="false"/>
          <w:color w:val="1A1A1A"/>
          <w:sz w:val="21"/>
          <w:szCs w:val="21"/>
        </w:rPr>
        <w:t xml:space="preserve">Een lichte cadans werkt beter dan een zware: een vast, kort interval (bijvoorbeeld maandelijks) voor reguliere vaststellingen en afwijkingsbesluiten, met een snelle escalatieroute voor urgente gevallen (een blokkerende afwijkingsaanvraag hoeft niet op de eerstvolgende maandagenda te wachten). Elk besluit — vastgesteld principe, toegewezen afwijking, geschil beslecht — gaat het </w:t>
      </w:r>
      <w:r>
        <w:rPr>
          <w:rFonts w:ascii="Calibri" w:cs="Calibri" w:eastAsia="Calibri" w:hAnsi="Calibri"/>
          <w:b/>
          <w:bCs/>
          <w:i w:val="false"/>
          <w:iCs w:val="false"/>
          <w:color w:val="1A1A1A"/>
          <w:sz w:val="21"/>
          <w:szCs w:val="21"/>
        </w:rPr>
        <w:t xml:space="preserve">Governance Log</w:t>
      </w:r>
      <w:r>
        <w:rPr>
          <w:rFonts w:ascii="Calibri" w:cs="Calibri" w:eastAsia="Calibri" w:hAnsi="Calibri"/>
          <w:b w:val="false"/>
          <w:bCs w:val="false"/>
          <w:i w:val="false"/>
          <w:iCs w:val="false"/>
          <w:color w:val="1A1A1A"/>
          <w:sz w:val="21"/>
          <w:szCs w:val="21"/>
        </w:rPr>
        <w:t xml:space="preserve"> in (deel 2, §6): het geheugen dat WGP 2.0 miste, nu met een eigenaar en een vaste plek.</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De doorlopende les, één laatste keer.</w:t>
            </w:r>
            <w:r>
              <w:rPr>
                <w:rFonts w:ascii="Calibri" w:cs="Calibri" w:eastAsia="Calibri" w:hAnsi="Calibri"/>
                <w:b w:val="false"/>
                <w:bCs w:val="false"/>
                <w:i/>
                <w:iCs/>
                <w:color w:val="14213D"/>
                <w:sz w:val="20"/>
                <w:szCs w:val="20"/>
              </w:rPr>
              <w:t xml:space="preserve"> Het gremium is de organisatorische vorm van hetzelfde patroon dat door de hele cursus liep: een kader zonder ventiel bouwt druk op (deel 7); een ventiel zonder kader is willekeur; een kader-plus-ventiel zonder een instantie die erover gaat, is een goede bedoeling. Het gremium ís de instantie. Dat is B9, opgelost — niet met meer papier, maar met een plek waar mensen samenkomen en beslissen.</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8. Alles samen: de zeven bevindingen, teruggelezen</w:t>
      </w:r>
    </w:p>
    <w:p>
      <w:pPr>
        <w:spacing w:after="160" w:line="300"/>
        <w:jc w:val="left"/>
      </w:pPr>
      <w:r>
        <w:rPr>
          <w:rFonts w:ascii="Calibri" w:cs="Calibri" w:eastAsia="Calibri" w:hAnsi="Calibri"/>
          <w:b w:val="false"/>
          <w:bCs w:val="false"/>
          <w:i w:val="false"/>
          <w:iCs w:val="false"/>
          <w:color w:val="1A1A1A"/>
          <w:sz w:val="21"/>
          <w:szCs w:val="21"/>
        </w:rPr>
        <w:t xml:space="preserve">Met het gremium op zijn plek is elke bevinding uit de post-mortem (deel 1) inhoudelijk gesloten. Eén laatste keer op een rij, met de instandhoudingsvraag erbij — want elke oplossing in deze cursus kreeg een onderhoudsclausule, en dat was geen stijlfiguur: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Bevinding</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Opgelost in</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Blijft in stand door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B3 (geen landschapskennis)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Deel 6</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catalogus als beheerproces, niet als project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B5 (technologie zonder kader)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Deel 7</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Het afwijkingenproces + het gremium dat het bewaakt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B7 (drie definities)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Deel 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begrippenkader + de data-eigenaren/stewards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B9 (geen samenhangbewaking)</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Vandaag</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Het gremium zelf</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B11 (vergeten stakeholder)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Deel 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stakeholderkaart, herijkt bij elke cyclus (fase A)</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B12 (dubbel gebouwd)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Deel 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matrix capability × applicatie, actueel gehouden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B14 (geen eindsituatie)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Deel 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Architecture Vision, herzien via fase H</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Dit is de tabel die de directie moet zien — en de kern van hoofdstuk 7, het laatste hoofdstuk vóór de capstone zelf.</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9.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Principes zijn het blijvende waarom achter standaarden en ontwerpen; standaardvorm: naam, stelling, rationale, implicaties — een principe zonder implicaties is een wens.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Fase E zet gaps om in werkpakketten en transitiearchitecturen; elke tussenstap is zelf coherent, geen half afgebouwd landschap.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Fase F confronteert werkpakketten met de organisatie; de architectuurbijdrage is de afhankelijkheidslogica, niet de projectplanning zelf.</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Fase G werkt met het Architecture Contract: vooraf kaders, onderweg adviseren, bij afwijking het deel 7-proces — vroeg en herhaald toetsen verslaat poortwachterij aan het eind.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Fase H houdt de architectuur levend: wijzigingen beoordelen, klein verwerken of groot een nieuwe cyclus, en de waarde van de functie zichtbaar maken.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architectuurgremium combineert mandaat en kennis, stelt vast maar beslist niet over individuele projecten, werkt met een lichte cadans plus escalatieroute, en legt alles in het Governance Log — de organisatorische oplossing voor B9.</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Alle zeven bevindingen zijn nu gesloten, elk met een eigen instandhoudingsmechanisme — en dat mechanisme, niet het incidentele document, is wat WGP 2.0 miste.</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Architectuurprincipe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blijvende, technologieonafhankelijke richtlijn: naam, stelling, rationale, implicaties</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Werkpakket</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samenhangend cluster van verandering (fase E)</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Transitiearchitectuur</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bewust ontworpen tussenstation tussen baseline en target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Implementation and Migration Plan</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het fase F-resultaat: werkpakketten ingebed in de organisatie</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Architecture Contract</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afspraak tussen architectuurfunctie en bouwend team (fase G)</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Architectuurgremium</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orgaan dat principes/standaarden vaststelt en over samenhang waakt</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Governance Log</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vastgelegde geheugen van besluiten en afwijkingen</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Phases E-H, Architecture Principles, Architecture Governance (examenstof)</w:t>
      </w:r>
    </w:p>
    <w:p>
      <w:pPr>
        <w:spacing w:before="300"/>
      </w:pPr>
      <w:r>
        <w:rPr>
          <w:rFonts w:ascii="Calibri" w:cs="Calibri" w:eastAsia="Calibri" w:hAnsi="Calibri"/>
          <w:i/>
          <w:iCs/>
          <w:color w:val="6B7280"/>
          <w:sz w:val="20"/>
          <w:szCs w:val="20"/>
        </w:rPr>
        <w:t xml:space="preserve">Volgende deel: examentraining Foundation + ArchiMate Part 1, en de capstone — uw architectuurvisie voor Meridiaan, verdedigd voor de directie.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9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b2f0c5226e8fde2c91f9510e1f20aae81f4f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2026-08-17T11:47:29.857Z</dcterms:created>
  <dcterms:modified xsi:type="dcterms:W3CDTF">2026-08-17T11:47:29.859Z</dcterms:modified>
</cp:coreProperties>
</file>

<file path=docProps/custom.xml><?xml version="1.0" encoding="utf-8"?>
<Properties xmlns="http://schemas.openxmlformats.org/officeDocument/2006/custom-properties" xmlns:vt="http://schemas.openxmlformats.org/officeDocument/2006/docPropsVTypes"/>
</file>