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9</w:t>
      </w:r>
    </w:p>
    <w:p>
      <w:pPr>
        <w:spacing w:after="300"/>
      </w:pPr>
      <w:r>
        <w:rPr>
          <w:rFonts w:ascii="Calibri" w:cs="Calibri" w:eastAsia="Calibri" w:hAnsi="Calibri"/>
          <w:b/>
          <w:bCs/>
          <w:color w:val="14213D"/>
          <w:sz w:val="34"/>
          <w:szCs w:val="34"/>
        </w:rPr>
        <w:t xml:space="preserve">Werkboek — Fase E t/m H: principes, standaarden en governance-basis</w:t>
      </w:r>
    </w:p>
    <w:p>
      <w:pPr>
        <w:spacing w:after="160" w:line="300"/>
        <w:jc w:val="left"/>
      </w:pPr>
      <w:r>
        <w:rPr>
          <w:rFonts w:ascii="Calibri" w:cs="Calibri" w:eastAsia="Calibri" w:hAnsi="Calibri"/>
          <w:b w:val="false"/>
          <w:bCs w:val="false"/>
          <w:i w:val="false"/>
          <w:iCs w:val="false"/>
          <w:color w:val="1A1A1A"/>
          <w:sz w:val="21"/>
          <w:szCs w:val="21"/>
        </w:rPr>
        <w:t xml:space="preserve">Vandaag sluit u de laatste bevinding en ontwerpt u het gremium waar al drie delen naar verwezen wordt. Het huiswerk levert hoofdstuk 7 van uw capstone-visie — het laatste hoofdstuk vóór deel 10. Elke opdracht sluit af met een verantwoordingsvraag.</w:t>
      </w:r>
    </w:p>
    <w:p>
      <w:pPr>
        <w:spacing w:after="160" w:line="300"/>
        <w:jc w:val="left"/>
      </w:pPr>
      <w:r>
        <w:rPr>
          <w:rFonts w:ascii="Calibri" w:cs="Calibri" w:eastAsia="Calibri" w:hAnsi="Calibri"/>
          <w:b w:val="false"/>
          <w:bCs w:val="false"/>
          <w:i w:val="false"/>
          <w:iCs w:val="false"/>
          <w:color w:val="1A1A1A"/>
          <w:sz w:val="21"/>
          <w:szCs w:val="21"/>
        </w:rPr>
        <w:t xml:space="preserve">Benodigd: visie-hoofdstuk 6 (de overzichtsplaat), alle eerdere hoofdstukken voor verwijzing, reader deel 9.</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0 — Peer feedback visie-hoofdstuk 6 (10 min, tweetallen)</w:t>
      </w:r>
    </w:p>
    <w:p>
      <w:pPr>
        <w:spacing w:after="160" w:line="300"/>
        <w:jc w:val="left"/>
      </w:pPr>
      <w:r>
        <w:rPr>
          <w:rFonts w:ascii="Calibri" w:cs="Calibri" w:eastAsia="Calibri" w:hAnsi="Calibri"/>
          <w:b w:val="false"/>
          <w:bCs w:val="false"/>
          <w:i w:val="false"/>
          <w:iCs w:val="false"/>
          <w:color w:val="1A1A1A"/>
          <w:sz w:val="21"/>
          <w:szCs w:val="21"/>
        </w:rPr>
        <w:t xml:space="preserve">Wissel de overzichtsplaten uit. Schriftelijk eerst: </w:t>
      </w:r>
      <w:r>
        <w:rPr>
          <w:rFonts w:ascii="Calibri" w:cs="Calibri" w:eastAsia="Calibri" w:hAnsi="Calibri"/>
          <w:b/>
          <w:bCs/>
          <w:i w:val="false"/>
          <w:iCs w:val="false"/>
          <w:color w:val="1A1A1A"/>
          <w:sz w:val="21"/>
          <w:szCs w:val="21"/>
        </w:rPr>
        <w:t xml:space="preserve">"Zou de COO na tien seconden kijken zeggen: 'ja, dít is hoe het samenhangt'?"</w:t>
      </w:r>
      <w:r>
        <w:rPr>
          <w:rFonts w:ascii="Calibri" w:cs="Calibri" w:eastAsia="Calibri" w:hAnsi="Calibri"/>
          <w:b w:val="false"/>
          <w:bCs w:val="false"/>
          <w:i w:val="false"/>
          <w:iCs w:val="false"/>
          <w:color w:val="1A1A1A"/>
          <w:sz w:val="21"/>
          <w:szCs w:val="21"/>
        </w:rPr>
        <w:t xml:space="preserve"> Eén verbetersuggestie.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Principes formuleren (30 min, drietallen)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Formuleer twee nieuwe architectuurprincipes voor Meridiaan (naast de vier uit de reader) in de standaardvorm (naam, stelling, rationale, implicaties). Put uit uw eigen werk in deel 3-8: kies rationales die u zelf heeft opgehaald, niet de vier voorbeelden.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Test elk principe met de twee vragen uit de reader: overleeft het een technologiewissel? Kost het iemand iets? Herformuleer waar nodig.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Eén van uw principes is waarschijnlijk eigenlijk een standaard of een wens. Ruil met een ander drietal en spoor hem op.</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een principe zonder implicaties "stuurt niets" — geef een voorbeeld van een principe-klinkende zin die bij toetsing een wens blijkt, en herschrijf hem tot een échte implicatie.</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Transitiearchitectuur ontwerpen (30 min, drietallen)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Ontwerp de transitiearchitectuur voor het werkgeversdossier in drie fasen (gebruik het voorbeeld uit de reader §3 als startpunt, maar werk het verder uit): per fase wat er staat, wat nog niet, en wat het besluitmoment is om door te gaan naar de volgende fase.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Koppel elke fase aan minstens één werkpakket en één bevinding die erdoor dichterbij komt of al gesloten wordt.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waarom is "in één weekend van baseline naar target" architectonisch onverantwoord, zelfs als het technisch zou kunnen? Geef het argument in maximaal drie zinnen.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Het Architecture Contract (25 min, tweetallen)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Schets het Architecture Contract voor het werkpakket "nieuw aanleverkanaal bouwen": welke principes en standaarden gelden, welke toetsmomenten (minimaal drie, verspreid over de bouwperiode, niet alleen aan het eind), en de afwijkingsroute.</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een projectleider stelt voor de toetsmomenten te schrappen "want we hebben toch al het contract vooraf getekend." Weerleg met het argument uit deel 3, §6 (de economie van vroeg versus laat corrigeren).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Het gremium ontwerpen (40 min, viertallen → plenair)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Stel de samenstelling van het architectuurgremium voor Meridiaan voor: wie zit erin, met welk mandaat, en waarom precies deze mensen (niet meer, niet minder).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Ontwerp de besluitvormingscadans: regulier interval, wat staat er standaard op de agenda, en de escalatieroute voor urgente gevallen.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Beschrijf twee besluiten die het gremium de komende maand zou moeten nemen, gebaseerd op wat er in deel 3-8 is opengebleven (denk aan: de vaststeller van het standaardenkader uit deel 7, het onderzoek naar WGKOP, de regelengine-aanvraag).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 </w:t>
      </w:r>
      <w:r>
        <w:rPr>
          <w:rFonts w:ascii="Calibri" w:cs="Calibri" w:eastAsia="Calibri" w:hAnsi="Calibri"/>
          <w:b w:val="false"/>
          <w:bCs w:val="false"/>
          <w:i w:val="false"/>
          <w:iCs w:val="false"/>
          <w:color w:val="1A1A1A"/>
          <w:sz w:val="21"/>
          <w:szCs w:val="21"/>
        </w:rPr>
        <w:t xml:space="preserve">Plenaire toets: één viertal presenteert (3 min); de rest beoordeelt vanuit de vraag "vervangt dit de stuurgroep, of vult het haar aan?" — met concrete argumenten uit het ontwerp.</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waarom moet het gremium klein en licht blijven — wat gaat er mis bij een groot, zwaar orgaan? Verwijs naar het ondergronds-patroon (deel 4, 5, 7).</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Huiswerk: visie-hoofdstuk 7 — governance (schriftelijk, inleveren vóór deel 10)</w:t>
      </w:r>
    </w:p>
    <w:p>
      <w:pPr>
        <w:spacing w:after="160" w:line="300"/>
        <w:jc w:val="left"/>
      </w:pPr>
      <w:r>
        <w:rPr>
          <w:rFonts w:ascii="Calibri" w:cs="Calibri" w:eastAsia="Calibri" w:hAnsi="Calibri"/>
          <w:b w:val="false"/>
          <w:bCs w:val="false"/>
          <w:i w:val="false"/>
          <w:iCs w:val="false"/>
          <w:color w:val="1A1A1A"/>
          <w:sz w:val="21"/>
          <w:szCs w:val="21"/>
        </w:rPr>
        <w:t xml:space="preserve">Schrijf hoofdstuk 7 van uw capstone-visie (maximaal twee A4): </w:t>
      </w:r>
      <w:r>
        <w:rPr>
          <w:rFonts w:ascii="Calibri" w:cs="Calibri" w:eastAsia="Calibri" w:hAnsi="Calibri"/>
          <w:b/>
          <w:bCs/>
          <w:i w:val="false"/>
          <w:iCs w:val="false"/>
          <w:color w:val="1A1A1A"/>
          <w:sz w:val="21"/>
          <w:szCs w:val="21"/>
        </w:rPr>
        <w:t xml:space="preserve">de governance op visieniveau</w:t>
      </w:r>
      <w:r>
        <w:rPr>
          <w:rFonts w:ascii="Calibri" w:cs="Calibri" w:eastAsia="Calibri" w:hAnsi="Calibri"/>
          <w:b w:val="false"/>
          <w:bCs w:val="false"/>
          <w:i w:val="false"/>
          <w:iCs w:val="false"/>
          <w:color w:val="1A1A1A"/>
          <w:sz w:val="21"/>
          <w:szCs w:val="21"/>
        </w:rPr>
        <w:t xml:space="preserve"> — de principes als tabel, de transitiearchitectuur in drie zinnen per fase, het Architecture Contract-sjabloon in hoofdlijnen, en het gremium (samenstelling, mandaat, cadans). Sluit af met de tabel uit de reader §8 (alle zeven bevindingen, opgelost, in stand gehouden) — dit is het slotstuk van uw hele visie. Dit hoofdstuk, samen met hoofdstuk 1-6, vormt de basis voor uw capstone-verdediging in deel 10.</w:t>
      </w:r>
    </w:p>
    <w:p>
      <w:pPr>
        <w:spacing w:after="160" w:line="300"/>
        <w:jc w:val="left"/>
      </w:pPr>
      <w:r>
        <w:rPr>
          <w:rFonts w:ascii="Calibri" w:cs="Calibri" w:eastAsia="Calibri" w:hAnsi="Calibri"/>
          <w:b w:val="false"/>
          <w:bCs w:val="false"/>
          <w:i w:val="false"/>
          <w:iCs w:val="false"/>
          <w:color w:val="1A1A1A"/>
          <w:sz w:val="21"/>
          <w:szCs w:val="21"/>
        </w:rPr>
        <w:t xml:space="preserve">## 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spacing w:after="160" w:line="300"/>
        <w:jc w:val="left"/>
      </w:pPr>
      <w:r>
        <w:rPr>
          <w:rFonts w:ascii="Calibri" w:cs="Calibri" w:eastAsia="Calibri" w:hAnsi="Calibri"/>
          <w:b w:val="false"/>
          <w:bCs w:val="false"/>
          <w:i w:val="false"/>
          <w:iCs w:val="false"/>
          <w:color w:val="1A1A1A"/>
          <w:sz w:val="21"/>
          <w:szCs w:val="21"/>
        </w:rPr>
        <w:t xml:space="preserve">a-b. Modelvoorbeelden: </w:t>
      </w:r>
      <w:r>
        <w:rPr>
          <w:rFonts w:ascii="Calibri" w:cs="Calibri" w:eastAsia="Calibri" w:hAnsi="Calibri"/>
          <w:b/>
          <w:bCs/>
          <w:i w:val="false"/>
          <w:iCs w:val="false"/>
          <w:color w:val="1A1A1A"/>
          <w:sz w:val="21"/>
          <w:szCs w:val="21"/>
        </w:rPr>
        <w:t xml:space="preserve">"Historie is geen bijzaak"</w:t>
      </w:r>
      <w:r>
        <w:rPr>
          <w:rFonts w:ascii="Calibri" w:cs="Calibri" w:eastAsia="Calibri" w:hAnsi="Calibri"/>
          <w:b w:val="false"/>
          <w:bCs w:val="false"/>
          <w:i w:val="false"/>
          <w:iCs w:val="false"/>
          <w:color w:val="1A1A1A"/>
          <w:sz w:val="21"/>
          <w:szCs w:val="21"/>
        </w:rPr>
        <w:t xml:space="preserve"> — stelling: elke wijziging aan een kernentiteit die rechten raakt, blijft herleidbaar naar de situatie op het moment van ontstaan; rationale: De Boer-casus en de peildatum-regel (deel 5); implicaties: geen enkel systeem mag overschrijven zonder versiehistorie, en migraties die historie niet kunnen dragen zijn per definitie onvolledig. </w:t>
      </w:r>
      <w:r>
        <w:rPr>
          <w:rFonts w:ascii="Calibri" w:cs="Calibri" w:eastAsia="Calibri" w:hAnsi="Calibri"/>
          <w:b/>
          <w:bCs/>
          <w:i w:val="false"/>
          <w:iCs w:val="false"/>
          <w:color w:val="1A1A1A"/>
          <w:sz w:val="21"/>
          <w:szCs w:val="21"/>
        </w:rPr>
        <w:t xml:space="preserve">"Ontsluiten is de default, punt-tot-punt de uitzondering"</w:t>
      </w:r>
      <w:r>
        <w:rPr>
          <w:rFonts w:ascii="Calibri" w:cs="Calibri" w:eastAsia="Calibri" w:hAnsi="Calibri"/>
          <w:b w:val="false"/>
          <w:bCs w:val="false"/>
          <w:i w:val="false"/>
          <w:iCs w:val="false"/>
          <w:color w:val="1A1A1A"/>
          <w:sz w:val="21"/>
          <w:szCs w:val="21"/>
        </w:rPr>
        <w:t xml:space="preserve"> — stelling: nieuwe koppelvlakken worden via services ontsloten tenzij een enkele, stabiele afnemer dat evident onnodig maakt; rationale: de kwadratische-afsprakengroei-analyse (deel 6); implicaties: elk nieuw koppelvlakvoorstel motiveert waarom ontsluiting niet nodig is, niet andersom.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Model-strikvraag-antwoord: "wij gebruiken uitsluitend verplichte standaarden" is een standaard-in-principesvorm (technologiegebonden, geen "waarom"); "wij streven naar een wendbare architectuur" is een wens zonder implicaties. Beide zijn veelvoorkomende inzendfouten.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 </w:t>
      </w:r>
      <w:r>
        <w:rPr>
          <w:rFonts w:ascii="Calibri" w:cs="Calibri" w:eastAsia="Calibri" w:hAnsi="Calibri"/>
          <w:b w:val="false"/>
          <w:bCs w:val="false"/>
          <w:i w:val="false"/>
          <w:iCs w:val="false"/>
          <w:color w:val="1A1A1A"/>
          <w:sz w:val="21"/>
          <w:szCs w:val="21"/>
        </w:rPr>
        <w:t xml:space="preserve">Voorbeeld: "Wij zijn transparant over onze architectuurkeuzes" klinkt als principe maar heeft geen toetsbare implicatie. Herschreven: "Elke architectuurkeuze met impact op een ander domein wordt binnen vijf werkdagen in het Governance Log gepubliceerd" — nu overleeft het een technologiewissel én kost het iemand (de architect) tijd en discipline.</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Modelfasering (uitgewerkt): Fase 1 — nieuw kanaal live voor nieuwe aanmeldingen, oud portaal read-only als vangnet; besluitmoment: acceptatietest + drie weken foutloze productie. Fase 2 — alle bestaande werkgevers gemigreerd, oud portaal uit, PA-Macro-validatieregels volledig in het kanaal; besluitmoment: nul openstaande migratiegevallen + stewards operationeel. Fase 3 — ontsluiting volledig (geen punt-tot-punt meer), standaarden van aanbevolen naar verplicht waar nog relevant; besluitmoment: gremium-evaluatie van het standaardenkader na een jaar productie.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Fase 1 → werkpakket "nieuw kanaal bouwen", dichter bij B7 (validatie bij de bron) en B3 (landschap bekend). Fase 2 → werkpakket "PA-Macro-migratie" en "oud portaal uitfaseren", sluit B12 definitief af in de praktijk (niet alleen op papier). Fase 3 → werkpakket "volledige ontsluiting", sluit B5 in de praktijk (het kader wordt norm, niet uitzondering).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Modelargument: een big-bang-overgang heeft geen tussentijds besluitmoment — als er iets misgaat, is er geen kleinere stap om op terug te vallen, en is het vangnet (oud portaal) al weg. Transitiearchitecturen maken elke stap afzonderlijk beheersbaar en omkeerbaar; dat is dezelfde economie als "fouten vroeg vinden is goedkoop" (deel 3, §6), nu toegepast op uitvoering in plaats van ontwerp.</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Modelcontract: geldende principes (Eén waarheid per gegeven, Vermogens vóór systemen), geldende standaarden (identiteitsbeheer verplicht IAM-Suite, applicatieplatform per doelkeuze); toetsmomenten: (1) na het ontwerp van de validatieregel-architectuur — voordat gebouwd wordt, (2) bij de eerste werkende versie van de authenticatiekoppeling, (3) vóór de acceptatietest — is de fase 1-transitiearchitectuur daadwerkelijk gehaald? Afwijkingsroute: conform deel 7, escalatie naar het gremium bij principiële afwijkingen.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Weerlegging: een contract vooraf is een momentopname van wat tóen bekend was; de waarde van tussentijdse toetsing zit precies in wat er ondertussen verandert of duidelijk wordt (deel 3: fouten die je vroeg vindt kosten een gesprek, laat gevonden kosten een herontwerp of escalatie). Een getekend contract zonder toetsing is een intentieverklaring, geen governance.</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4</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Modelsamenstelling: manager Werkgeversdiensten (business-eigenaar, mandaat), manager Deelnemersadministratie (grensbegrip-belang, deel 5), CISO (security-mandaat, deel 3/7), architectuurfunctie (samenhang, advies), COO-vertegenwoordiger (geschilbeslechting). Bewust géén los "architectenoverleg" — elke aanwezige heeft een mandaat dat ergens anders vandaan komt.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Modelcadans: maandelijks, vaste agenda (nieuwe/gewijzigde principes, afwijkingsaanvragen ter bekrachtiging, statusoverzicht Governance Log); escalatieroute: een blokkerende aanvraag kan binnen 48 uur een virtuele beslissing van de architectuurfunctie + twee gremiumleden krijgen, bekrachtigd op de eerstvolgende reguliere vergadering.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Modelbesluiten: (1) formele vaststelling van het standaardenkader uit deel 7 (de "gremium, inrichting volgt"-belofte wordt hier ingelost); (2) besluit over de regelengine-aanvraag uit deel 7 (toewijzen als kandidaat-standaard voor "regelbeheer", conform de deel 7-uitwerking).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 </w:t>
      </w:r>
      <w:r>
        <w:rPr>
          <w:rFonts w:ascii="Calibri" w:cs="Calibri" w:eastAsia="Calibri" w:hAnsi="Calibri"/>
          <w:b w:val="false"/>
          <w:bCs w:val="false"/>
          <w:i w:val="false"/>
          <w:iCs w:val="false"/>
          <w:color w:val="1A1A1A"/>
          <w:sz w:val="21"/>
          <w:szCs w:val="21"/>
        </w:rPr>
        <w:t xml:space="preserve">Observatiepunten voor de plenaire toets: bevat het ontwerp expliciet "wij gaan niet over tijd/geld/projectvoortgang"? Is de samenstelling mandaat-gedreven in plaats van architecten-only? Is er een escalatieroute die niet op de maandagenda hoeft te wachten?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 </w:t>
      </w:r>
      <w:r>
        <w:rPr>
          <w:rFonts w:ascii="Calibri" w:cs="Calibri" w:eastAsia="Calibri" w:hAnsi="Calibri"/>
          <w:b w:val="false"/>
          <w:bCs w:val="false"/>
          <w:i w:val="false"/>
          <w:iCs w:val="false"/>
          <w:color w:val="1A1A1A"/>
          <w:sz w:val="21"/>
          <w:szCs w:val="21"/>
        </w:rPr>
        <w:t xml:space="preserve">Modelantwoord: een groot, zwaar gremium wordt zelf een vertragende poort — en projecten die met hun legitieme, snelle vraag niet snel geholpen worden, gaan (het patroon voor de vierde keer) ondergronds: zij vragen niet meer, zij doen het gewoon en hopen dat niemand het opmerkt. Klein en licht houdt het ventiel echt een ventiel.</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Beoordelingskader opdracht 5 (peer feedback in deel 10)</w:t>
      </w:r>
    </w:p>
    <w:p>
      <w:pPr>
        <w:spacing w:after="160" w:line="300"/>
        <w:jc w:val="left"/>
      </w:pPr>
      <w:r>
        <w:rPr>
          <w:rFonts w:ascii="Calibri" w:cs="Calibri" w:eastAsia="Calibri" w:hAnsi="Calibri"/>
          <w:b w:val="false"/>
          <w:bCs w:val="false"/>
          <w:i w:val="false"/>
          <w:iCs w:val="false"/>
          <w:color w:val="1A1A1A"/>
          <w:sz w:val="21"/>
          <w:szCs w:val="21"/>
        </w:rPr>
        <w:t xml:space="preserve">Sterk: de bevindingentabel compleet en overtuigend (elke instandhoudingsclausule concreet, niet "dit blijft actueel" zonder mechanisme); het gremium herkenbaar als aanvulling op de stuurgroep, niet als vervanging; principes die de eigen technologiewissel-en-implicatie-toets doorstaan. Zwak: principes die eigenlijk standaarden zijn; een gremium-ontwerp dat zwaar en traag oogt; een bevindingentabel die "opgelost" claimt zonder het instandhoudingsmechanisme te benoemen — precies de fout die dit hele deel wilde voorkomen.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9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2026-08-17T11:47:30.277Z</dcterms:created>
  <dcterms:modified xsi:type="dcterms:W3CDTF">2026-08-17T11:47:30.279Z</dcterms:modified>
</cp:coreProperties>
</file>

<file path=docProps/custom.xml><?xml version="1.0" encoding="utf-8"?>
<Properties xmlns="http://schemas.openxmlformats.org/officeDocument/2006/custom-properties" xmlns:vt="http://schemas.openxmlformats.org/officeDocument/2006/docPropsVTypes"/>
</file>