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11</w:t>
      </w:r>
    </w:p>
    <w:p>
      <w:pPr>
        <w:spacing w:after="300"/>
      </w:pPr>
      <w:r>
        <w:rPr>
          <w:rFonts w:ascii="Calibri" w:cs="Calibri" w:eastAsia="Calibri" w:hAnsi="Calibri"/>
          <w:b/>
          <w:bCs/>
          <w:color w:val="14213D"/>
          <w:sz w:val="32"/>
          <w:szCs w:val="32"/>
        </w:rPr>
        <w:t xml:space="preserve">Docentenhandleiding — De ADM in de praktijk: iteraties, requirements management, architectuurcontract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één dagdeel (4 uur incl. pauze)</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volledig niveau 1, met name deel 2, 3, 5, 9</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11, bijlage A (vijf pijnpuntbeschrijvingen), rolkaart "hoofd Begunstigden" (opdracht 3b), flip-overs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Deel 11 is de brug tussen niveau 1 en 2: dezelfde instrumenten, nieuwe schaal. Open het dagdeel met erkenning van het succes uit niveau 1 (het werkgeversdossier werkte) vóór u de complicatie introduceert — de groep moet voelen dat dit een gevolg is van succes, niet een nieuw probleem uit het niets.</w:t>
      </w:r>
    </w:p>
    <w:p>
      <w:pPr>
        <w:spacing w:after="160" w:line="300"/>
        <w:jc w:val="left"/>
      </w:pPr>
      <w:r>
        <w:rPr>
          <w:rFonts w:ascii="Calibri" w:cs="Calibri" w:eastAsia="Calibri" w:hAnsi="Calibri"/>
          <w:b w:val="false"/>
          <w:bCs w:val="false"/>
          <w:i w:val="false"/>
          <w:iCs w:val="false"/>
          <w:color w:val="1A1A1A"/>
          <w:sz w:val="21"/>
          <w:szCs w:val="21"/>
        </w:rPr>
        <w:t xml:space="preserve">De kernles van dit deel — schaal is kwalitatief, niet kwantitatief — moet als terugkerend thema door de rest van niveau 2 klinken. Verwijs er expliciet naar wanneer latere delen (15, 18, 19) er weer op teruggrijpen.</w:t>
      </w:r>
    </w:p>
    <w:p>
      <w:pPr>
        <w:spacing w:after="160" w:line="300"/>
        <w:jc w:val="left"/>
      </w:pPr>
      <w:r>
        <w:rPr>
          <w:rFonts w:ascii="Calibri" w:cs="Calibri" w:eastAsia="Calibri" w:hAnsi="Calibri"/>
          <w:b/>
          <w:bCs/>
          <w:i w:val="false"/>
          <w:iCs w:val="false"/>
          <w:color w:val="1A1A1A"/>
          <w:sz w:val="21"/>
          <w:szCs w:val="21"/>
        </w:rPr>
        <w:t xml:space="preserve">Geen post-mortembevinding vandaag</w:t>
      </w:r>
      <w:r>
        <w:rPr>
          <w:rFonts w:ascii="Calibri" w:cs="Calibri" w:eastAsia="Calibri" w:hAnsi="Calibri"/>
          <w:b w:val="false"/>
          <w:bCs w:val="false"/>
          <w:i w:val="false"/>
          <w:iCs w:val="false"/>
          <w:color w:val="1A1A1A"/>
          <w:sz w:val="21"/>
          <w:szCs w:val="21"/>
        </w:rPr>
        <w:t xml:space="preserve"> (die lijst hoorde bij niveau 1); wel een nieuw terugkerend motief: het gedeelde-patroon-versus-sjabloon-onderscheid (opdracht 1d) en parametriseren-versus-middelen (opdracht 3c) zijn de niveau 2-equivalenten van het begrippenkader-denken uit niveau 1 — bouw dat verband expliciet op.</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Slides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Welkom niveau 2 + casusintroductie Mutatieplatform</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0:15–0:30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wat schaalt, wat niet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5–7</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0:30–1:00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 het gedeelde patroon vinden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1:00–1:20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 theorie: fase A op programmaschaal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9–10</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1:20–1:40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 — volgordeadvies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1:40–1:55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1:55–2:10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requirements-botsingen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12–13</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2:10–2:40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 — de botsing oplossen + rollenspel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2:40–2:55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het contractnetwerk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15–16</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2:55–3:20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 het contractnetwerk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17</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3:20–3:40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iteratiepatronen over cycli heen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18–19</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3:40–3:55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Samenvatting + koppeling programmadossier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3:55–4:00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Huiswerk + vooruitblik deel 12</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w:t>
            </w:r>
          </w:p>
        </w:tc>
      </w:tr>
    </w:tbl>
    <w:p>
      <w:pPr>
        <w:spacing w:before="200"/>
      </w:pP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Opening.</w:t>
      </w:r>
      <w:r>
        <w:rPr>
          <w:rFonts w:ascii="Calibri" w:cs="Calibri" w:eastAsia="Calibri" w:hAnsi="Calibri"/>
          <w:b w:val="false"/>
          <w:bCs w:val="false"/>
          <w:i w:val="false"/>
          <w:iCs w:val="false"/>
          <w:color w:val="1A1A1A"/>
          <w:sz w:val="21"/>
          <w:szCs w:val="21"/>
        </w:rPr>
        <w:t xml:space="preserve"> Vier de niveau 1-uitkomst kort en oprecht — een groep die net een capstone-verdediging achter de rug heeft, verdient dat moment. Dan de schaalsprong: "en nu willen ze het overal."</w:t>
      </w:r>
    </w:p>
    <w:p>
      <w:pPr>
        <w:spacing w:after="160" w:line="300"/>
        <w:jc w:val="left"/>
      </w:pPr>
      <w:r>
        <w:rPr>
          <w:rFonts w:ascii="Calibri" w:cs="Calibri" w:eastAsia="Calibri" w:hAnsi="Calibri"/>
          <w:b/>
          <w:bCs/>
          <w:i w:val="false"/>
          <w:iCs w:val="false"/>
          <w:color w:val="1A1A1A"/>
          <w:sz w:val="21"/>
          <w:szCs w:val="21"/>
        </w:rPr>
        <w:t xml:space="preserve">Opdracht 1.</w:t>
      </w:r>
      <w:r>
        <w:rPr>
          <w:rFonts w:ascii="Calibri" w:cs="Calibri" w:eastAsia="Calibri" w:hAnsi="Calibri"/>
          <w:b w:val="false"/>
          <w:bCs w:val="false"/>
          <w:i w:val="false"/>
          <w:iCs w:val="false"/>
          <w:color w:val="1A1A1A"/>
          <w:sz w:val="21"/>
          <w:szCs w:val="21"/>
        </w:rPr>
        <w:t xml:space="preserve"> Bewaak dat groepjes niet blijven hangen in vijf losse procesbeschrijvingen — stuur actief naar het generieke patroon met de vraag "wat doen alle vijf, ook al noemen ze het anders?" Onderdeel d (het sjabloon-argument) is de kern; laat de parallel met "werkgever" (niveau 1, deel 4) expliciet benoemen door de groep, niet door uzelf.</w:t>
      </w:r>
    </w:p>
    <w:p>
      <w:pPr>
        <w:spacing w:after="160" w:line="300"/>
        <w:jc w:val="left"/>
      </w:pPr>
      <w:r>
        <w:rPr>
          <w:rFonts w:ascii="Calibri" w:cs="Calibri" w:eastAsia="Calibri" w:hAnsi="Calibri"/>
          <w:b/>
          <w:bCs/>
          <w:i w:val="false"/>
          <w:iCs w:val="false"/>
          <w:color w:val="1A1A1A"/>
          <w:sz w:val="21"/>
          <w:szCs w:val="21"/>
        </w:rPr>
        <w:t xml:space="preserve">Opdracht 2.</w:t>
      </w:r>
      <w:r>
        <w:rPr>
          <w:rFonts w:ascii="Calibri" w:cs="Calibri" w:eastAsia="Calibri" w:hAnsi="Calibri"/>
          <w:b w:val="false"/>
          <w:bCs w:val="false"/>
          <w:i w:val="false"/>
          <w:iCs w:val="false"/>
          <w:color w:val="1A1A1A"/>
          <w:sz w:val="21"/>
          <w:szCs w:val="21"/>
        </w:rPr>
        <w:t xml:space="preserve"> De complex-eerst-keuze is contra-intuïtief voor wie projectmanagement-ervaring heeft ("begin met een quick win"). Laat de discussie echt gebeuren voordat u het architectuurargument (de generieke laag wordt hier het strengst getoetst) bevestigt.</w:t>
      </w:r>
    </w:p>
    <w:p>
      <w:pPr>
        <w:spacing w:after="160" w:line="300"/>
        <w:jc w:val="left"/>
      </w:pPr>
      <w:r>
        <w:rPr>
          <w:rFonts w:ascii="Calibri" w:cs="Calibri" w:eastAsia="Calibri" w:hAnsi="Calibri"/>
          <w:b/>
          <w:bCs/>
          <w:i w:val="false"/>
          <w:iCs w:val="false"/>
          <w:color w:val="1A1A1A"/>
          <w:sz w:val="21"/>
          <w:szCs w:val="21"/>
        </w:rPr>
        <w:t xml:space="preserve">Opdracht 3 — kern van het dagdeel.</w:t>
      </w:r>
      <w:r>
        <w:rPr>
          <w:rFonts w:ascii="Calibri" w:cs="Calibri" w:eastAsia="Calibri" w:hAnsi="Calibri"/>
          <w:b w:val="false"/>
          <w:bCs w:val="false"/>
          <w:i w:val="false"/>
          <w:iCs w:val="false"/>
          <w:color w:val="1A1A1A"/>
          <w:sz w:val="21"/>
          <w:szCs w:val="21"/>
        </w:rPr>
        <w:t xml:space="preserve"> Het rollenspel is scherper dan de niveau 1-varianten: het hoofd Begunstigden heeft een reëel zorgpunt (fraude) en "flexibiliteit" klinkt voor haar als eufemisme. Brief de rolspeler om precies op dat wantrouwen te spelen totdat de architect het concern met naam noemt. Onderdeel c moet de parallel met "werkgever" zelf leggen — als de groep dat niet doet, trek het er expliciet bij.</w:t>
      </w:r>
    </w:p>
    <w:p>
      <w:pPr>
        <w:spacing w:after="160" w:line="300"/>
        <w:jc w:val="left"/>
      </w:pPr>
      <w:r>
        <w:rPr>
          <w:rFonts w:ascii="Calibri" w:cs="Calibri" w:eastAsia="Calibri" w:hAnsi="Calibri"/>
          <w:b/>
          <w:bCs/>
          <w:i w:val="false"/>
          <w:iCs w:val="false"/>
          <w:color w:val="1A1A1A"/>
          <w:sz w:val="21"/>
          <w:szCs w:val="21"/>
        </w:rPr>
        <w:t xml:space="preserve">Opdracht 4.</w:t>
      </w:r>
      <w:r>
        <w:rPr>
          <w:rFonts w:ascii="Calibri" w:cs="Calibri" w:eastAsia="Calibri" w:hAnsi="Calibri"/>
          <w:b w:val="false"/>
          <w:bCs w:val="false"/>
          <w:i w:val="false"/>
          <w:iCs w:val="false"/>
          <w:color w:val="1A1A1A"/>
          <w:sz w:val="21"/>
          <w:szCs w:val="21"/>
        </w:rPr>
        <w:t xml:space="preserve"> Bewaak het onderscheid samenhangtoets/voortgangsstuurgroep scherp — dit is letterlijk het B9-gremium-onderscheid uit niveau 1, nu toegepast op projectcoördinatie. Een groepje dat de twee samenvoegt, herhaalt zonder het te beseffen een architectuurfout; wijs erop met de niveau 1-verwijzing.</w:t>
      </w:r>
    </w:p>
    <w:p>
      <w:pPr>
        <w:spacing w:after="160" w:line="300"/>
        <w:jc w:val="left"/>
      </w:pPr>
      <w:r>
        <w:rPr>
          <w:rFonts w:ascii="Calibri" w:cs="Calibri" w:eastAsia="Calibri" w:hAnsi="Calibri"/>
          <w:b/>
          <w:bCs/>
          <w:i w:val="false"/>
          <w:iCs w:val="false"/>
          <w:color w:val="1A1A1A"/>
          <w:sz w:val="21"/>
          <w:szCs w:val="21"/>
        </w:rPr>
        <w:t xml:space="preserve">Theorie iteratiepatronen.</w:t>
      </w:r>
      <w:r>
        <w:rPr>
          <w:rFonts w:ascii="Calibri" w:cs="Calibri" w:eastAsia="Calibri" w:hAnsi="Calibri"/>
          <w:b w:val="false"/>
          <w:bCs w:val="false"/>
          <w:i w:val="false"/>
          <w:iCs w:val="false"/>
          <w:color w:val="1A1A1A"/>
          <w:sz w:val="21"/>
          <w:szCs w:val="21"/>
        </w:rPr>
        <w:t xml:space="preserve"> Dit blok mag kort: het bouwt op deel 2 (niveau 1) en de opdrachten hebben het praktische werk al gedaan. Focus op de examenkoppeling: Practitioner vraagt om het zelf kunnen ontwerpen van een iteratiestrategie, niet alleen herkennen.</w:t>
      </w:r>
    </w:p>
    <w:p>
      <w:pPr>
        <w:spacing w:after="160" w:line="300"/>
        <w:jc w:val="left"/>
      </w:pPr>
      <w:r>
        <w:rPr>
          <w:rFonts w:ascii="Calibri" w:cs="Calibri" w:eastAsia="Calibri" w:hAnsi="Calibri"/>
          <w:b/>
          <w:bCs/>
          <w:i w:val="false"/>
          <w:iCs w:val="false"/>
          <w:color w:val="1A1A1A"/>
          <w:sz w:val="21"/>
          <w:szCs w:val="21"/>
        </w:rPr>
        <w:t xml:space="preserve">Afsluiting.</w:t>
      </w:r>
      <w:r>
        <w:rPr>
          <w:rFonts w:ascii="Calibri" w:cs="Calibri" w:eastAsia="Calibri" w:hAnsi="Calibri"/>
          <w:b w:val="false"/>
          <w:bCs w:val="false"/>
          <w:i w:val="false"/>
          <w:iCs w:val="false"/>
          <w:color w:val="1A1A1A"/>
          <w:sz w:val="21"/>
          <w:szCs w:val="21"/>
        </w:rPr>
        <w:t xml:space="preserve"> Introduceer het programmadossier dat door niveau 2 heen groeit (vergelijkbaar met de capstone-visie in niveau 1) en dat in deel 22 verdedigd wordt. Het A4 van vandaag is het openingsstuk.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"Is dit niet gewoon een groter project?"</w:t>
      </w:r>
      <w:r>
        <w:rPr>
          <w:rFonts w:ascii="Calibri" w:cs="Calibri" w:eastAsia="Calibri" w:hAnsi="Calibri"/>
          <w:b w:val="false"/>
          <w:bCs w:val="false"/>
          <w:i w:val="false"/>
          <w:iCs w:val="false"/>
          <w:color w:val="1A1A1A"/>
          <w:sz w:val="21"/>
          <w:szCs w:val="21"/>
        </w:rPr>
        <w:t xml:space="preserve"> — Nee, en dat is de kern van het dagdeel: het is een kwalitatief andere opgave, niet een kwantitatief grotere. Herhaal de meta-les uit de reader als deze vraag opkomt.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"Wat als de vijf afdelingen ruzie blijven maken, ook na parametrisering?"</w:t>
      </w:r>
      <w:r>
        <w:rPr>
          <w:rFonts w:ascii="Calibri" w:cs="Calibri" w:eastAsia="Calibri" w:hAnsi="Calibri"/>
          <w:b w:val="false"/>
          <w:bCs w:val="false"/>
          <w:i w:val="false"/>
          <w:iCs w:val="false"/>
          <w:color w:val="1A1A1A"/>
          <w:sz w:val="21"/>
          <w:szCs w:val="21"/>
        </w:rPr>
        <w:t xml:space="preserve"> — Dan escaleert het naar het gremium (niveau 1, deel 9) — dat orgaan bestaat precies voor dit soort principiële geschillen.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volgende bijeenkomst</w:t>
      </w:r>
    </w:p>
    <w:p>
      <w:pPr>
        <w:spacing w:after="160" w:line="300"/>
        <w:jc w:val="left"/>
      </w:pPr>
      <w:r>
        <w:rPr>
          <w:rFonts w:ascii="Calibri" w:cs="Calibri" w:eastAsia="Calibri" w:hAnsi="Calibri"/>
          <w:b w:val="false"/>
          <w:bCs w:val="false"/>
          <w:i w:val="false"/>
          <w:iCs w:val="false"/>
          <w:color w:val="1A1A1A"/>
          <w:sz w:val="21"/>
          <w:szCs w:val="21"/>
        </w:rPr>
        <w:t xml:space="preserve">A4's vooraf laten inleveren; scan op de "vijf parallelle projecten"-valkuil. Deel 12 (BIZBOK-zwaartepunt) bouwt voort op de generieke capability uit dit deel — die moet scherp op papier staan.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11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2026-08-17T11:47:37.649Z</dcterms:created>
  <dcterms:modified xsi:type="dcterms:W3CDTF">2026-08-17T11:47:37.650Z</dcterms:modified>
</cp:coreProperties>
</file>

<file path=docProps/custom.xml><?xml version="1.0" encoding="utf-8"?>
<Properties xmlns="http://schemas.openxmlformats.org/officeDocument/2006/custom-properties" xmlns:vt="http://schemas.openxmlformats.org/officeDocument/2006/docPropsVTypes"/>
</file>