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12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Businessarchitectuur volgens BIZBOK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niveau 1 deel 4 (capability/waardestroom-basis) en deel 11 (generieke capability, parametrisering)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12, flip-overs voor de drie views, bevindingen uit deel 11 bijlage A bij de hand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is het eerste van twee BIZBOK-zwaartepuntdelen (het andere is deel 25, niveau 3). Anders dan de omringende delen volgt dit deel geen ADM-fase maar een zelfstandige discipline — behandel het dagdeel ook zo: minder "waar zitten we in de cyclus", meer "welke techniek past bij welke vraag". Voor deelnemers die de Open CA-specialisatie Business Architect overwegen (niveau 3), is dit het scharnierdeel — benoem dat bij de opening.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organisatiekaart is voor de meeste deelnemers nieuw (niveau 1 kende alleen capability map en waardestroom); besteed er relatief de meeste aandacht aan, inclusief het onderscheid met een organogram, dat hardnekkig is.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  <w:tc>
          <w:tcPr>
            <w:tcW w:type="dxa" w:w="225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Slides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 — peer feedback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1–2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Casus: de stuurgroepvraag + BIZBOK naast TOGAF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3–5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0:20–0:50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 + Opdracht 1 — capability map niveau 3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 → drietallen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6–9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0:50–1:20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cross-mapping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10–11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1:20–1:35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1:35–2:05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 + Opdracht 2 — volledige waardestroom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 → drietallen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12–14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2:05–2:15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De vijfde stage: vervolgeffecten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2:15–2:55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 + Opdracht 3 — organisatiekaart + stuurgroepadvies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 → viertallen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16–18</w:t>
            </w:r>
          </w:p>
        </w:tc>
      </w:tr>
      <w:tr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2:55–3:45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Presentaties: elk viertal 5 min, stuurgroepadvies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3:45–4:00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Samenvatting: drie lenzen + huiswerk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  <w:tc>
          <w:tcPr>
            <w:tcW w:type="dxa" w:w="225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20–21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Casusopening.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stuurgroepvraag ("reorganiseren of niet?") op de flap laten hangen tot de presentaties in opdracht 3 — het dagdeel bouwt zichtbaar naar dat antwoord toe.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de vermogens-taal-tekenregel (niveau 1, deel 4) — onder tijdsdruk vervallen groepjes makkelijk in procesnamen. Bij c het organogram-argument laten landen als "verlies van het many-to-many-patroon", niet als vaag "het klopt niet".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vijfde stage (vervolgeffecten) is de belangrijkste nieuwe stof van het dagdeel — geef er een eigen theorieblok en laat de groep zelf een voorbeeld bedenken vóór u het reader-voorbeeld deelt.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 — kern van het dagdeel.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Bewaak dat de organisatiekaart daadwerkelijk per cel een vergelijkbaarheidsoordeel geeft (niet alleen "ja/nee, deze afdeling doet dit") — de nuance zit in hóe vergelijkbaar, niet alleen of het bestaat. Bij de presentaties: laat elk viertal alle drie views expliciet noemen in hun advies; grijp in als een groep alleen op de capability map leunt (dat is precies de valkuil uit opdracht 3d).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Afsluiting.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drie-lenzen-metafoor (§6 reader) als slotbeeld: geen enkele lens vervangt de andere twee.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de organisatiekaart niet gewoon een ander woord voor een RACI-matrix?"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Verwant maar breder: RACI regelt verantwoordelijkheid per taak/proces; de organisatiekaart koppelt capabilities (vermogens) aan eenheden, ongeacht taakdetail — het is een architectuurinstrument, RACI een projectinstrument.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"Moet dit altijd tot een reorganisatie-advies leiden?"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Nee, vaak is de uitkomst "niets veranderen aan de organisatiestructuur" — en dat is een even geldig, goed onderbouwd advies als een bundelingsvoorstel.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Hoofdstukken vooraf laten inleveren; scan op de aanwezigheid van alle drie views in samenhang. Deel 13 (ArchiMate gevorderd I, motivatielaag) geeft de capabilities uit dit deel eindelijk hun formele modelelement.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12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2026-08-17T11:47:43.407Z</dcterms:created>
  <dcterms:modified xsi:type="dcterms:W3CDTF">2026-08-17T11:47:43.408Z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