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12</w:t>
      </w:r>
    </w:p>
    <w:p>
      <w:pPr>
        <w:spacing w:after="300"/>
      </w:pPr>
      <w:r>
        <w:rPr>
          <w:rFonts w:ascii="Calibri" w:cs="Calibri" w:eastAsia="Calibri" w:hAnsi="Calibri"/>
          <w:b/>
          <w:bCs/>
          <w:color w:val="14213D"/>
          <w:sz w:val="34"/>
          <w:szCs w:val="34"/>
        </w:rPr>
        <w:t xml:space="preserve">Werkboek — Businessarchitectuur volgens BIZBOK</w:t>
      </w:r>
    </w:p>
    <w:p>
      <w:pPr>
        <w:spacing w:after="160" w:line="300"/>
        <w:jc w:val="left"/>
      </w:pPr>
      <w:r>
        <w:rPr>
          <w:rFonts w:ascii="Calibri" w:cs="Calibri" w:eastAsia="Calibri" w:hAnsi="Calibri"/>
          <w:b w:val="false"/>
          <w:bCs w:val="false"/>
          <w:i w:val="false"/>
          <w:iCs w:val="false"/>
          <w:color w:val="1A1A1A"/>
          <w:sz w:val="21"/>
          <w:szCs w:val="21"/>
        </w:rPr>
        <w:t xml:space="preserve">Vandaag bouwt u alle drie BIZBOK-kernviews voor het Mutatieplatform en beantwoordt u de stuurgroepvraag: reorganiseren of niet?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de generieke capability uit deel 11, reader deel 12.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iteratiestrategie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de A4's uit deel 11. Schriftelijk eerst: </w:t>
      </w:r>
      <w:r>
        <w:rPr>
          <w:rFonts w:ascii="Calibri" w:cs="Calibri" w:eastAsia="Calibri" w:hAnsi="Calibri"/>
          <w:b/>
          <w:bCs/>
          <w:i w:val="false"/>
          <w:iCs w:val="false"/>
          <w:color w:val="1A1A1A"/>
          <w:sz w:val="21"/>
          <w:szCs w:val="21"/>
        </w:rPr>
        <w:t xml:space="preserve">"Overtuigt dit een stuurgroep die twijfelt of vijf aparte projecten niet sneller zijn?"</w:t>
      </w:r>
      <w:r>
        <w:rPr>
          <w:rFonts w:ascii="Calibri" w:cs="Calibri" w:eastAsia="Calibri" w:hAnsi="Calibri"/>
          <w:b w:val="false"/>
          <w:bCs w:val="false"/>
          <w:i w:val="false"/>
          <w:iCs w:val="false"/>
          <w:color w:val="1A1A1A"/>
          <w:sz w:val="21"/>
          <w:szCs w:val="21"/>
        </w:rPr>
        <w:t xml:space="preserve"> Eén verbetersuggestie.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De capability map naar niveau 3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Werk de generieke mutatieverwerkingscapability (deel 11) uit naar zes niveau-3-capabilities, in vermogens-taal.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Cross-map elke niveau-3-capability naar de strategische doelstelling "kostenreductie uitvoering": welke draagt zwaar bij, welke nauwelijks?</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collega tekent de capability map als organogram (één tak per afdeling). Leg in drie zinnen uit wat daarmee verloren gaat.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 volledige waardestroom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Werk de waardestroom "Mijn gegevens laten kloppen" volledig uit: stakeholder, trigger, stages (vijf, inclusief vervolgeffecten), value item.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Koppel elke stage aan de bijbehorende niveau-3-capability uit opdracht 1. Sluiten ze naadloos op elkaar aan? Zo niet: pas capability of waardestroom aan totdat ze wel sluiten.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"vervolgeffecten zien" architectonisch een eis en geen aardigheidje? Geef een concreet Mutatieplatform-voorbeeld waarin het weglaten ervan tot een klacht zou leiden.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organisatiekaart en de stuurgroepvraag (35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Bouw de organisatiekaart: leg de vijf mutatie-afdelingen naast de zes niveau-3-capabilities en markeer per cel: voert deze afdeling dit vermogen uit, en hoe vergelijkbaar is dat met de andere afdelingen?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Identificeer minimaal twee capabilities die kandidaat zijn voor organisatorische bundeling, en minimaal twee die specialisatie vereisen. Motiveer beide met een casusfeit uit deel 11, bijlage 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Formuleer het antwoord op de stuurgroepvraag in maximaal een halve A4, met alle drie views als onderbouwing (capability, waardestroom, organisatie).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zou een advies dat alleen op de capability map steunt ("dit kan allemaal generiek") de stuurgroep op het verkeerde been zetten?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Huiswerk: de drie views als programmadossier-hoofdstuk (schriftelijk, inleveren vóór deel 13)</w:t>
      </w:r>
    </w:p>
    <w:p>
      <w:pPr>
        <w:spacing w:after="160" w:line="300"/>
        <w:jc w:val="left"/>
      </w:pPr>
      <w:r>
        <w:rPr>
          <w:rFonts w:ascii="Calibri" w:cs="Calibri" w:eastAsia="Calibri" w:hAnsi="Calibri"/>
          <w:b w:val="false"/>
          <w:bCs w:val="false"/>
          <w:i w:val="false"/>
          <w:iCs w:val="false"/>
          <w:color w:val="1A1A1A"/>
          <w:sz w:val="21"/>
          <w:szCs w:val="21"/>
        </w:rPr>
        <w:t xml:space="preserve">Voeg een hoofdstuk toe aan uw programmadossier: de drie BIZBOK-views voor het Mutatieplatform, met het stuurgroepadvies als afsluiting (max. twee A4). Deel 13 opent met peer feedback (feedbackvraag: "zou een stuurgroeplid die alleen dit hoofdstuk leest, het reorganisatie-advies kunnen navertellen?").</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Modelset: Mutatieverzoek ontvangen · Identiteit en bevoegdheid vaststellen · Mutatie valideren · Mutatie doorvoeren · Bevestiging versturen · Uitzondering behandelen.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Zwaar bijdragend: Mutatie doorvoeren (automatiseringspotentieel) en Uitzondering behandelen (duurste stap per transactie — kostenreductie zit vooral in het verkleinen van deze categorie, niet in het versnellen ervan). Nauwelijks bijdragend aan déze doelstelling (wel aan andere, zoals klanttevredenheid): Bevestiging versturen.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Een organogram-vormige kaart suggereert dat elke capability precies bij één afdeling hoort — maar "Mutatieverzoek ontvangen" wordt door alle vijf afdelingen vergelijkbaar uitgevoerd (opdracht 3), en die overeenkomst is nou net de informatie die bundelingskansen oplevert. De boomvorm verbergt het many-to-many-patroon dat de hele reorganisatievraag moet beantwoorden.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Stakeholder: deelnemer/werkgever bij wie iets wijzigt · trigger: life event of bedrijfsgebeurtenis · stages: situatie melden → identiteit/bevoegdheid bevestigen → wijziging doorvoeren → bevestiging ontvangen → vervolgeffecten zien · value item: "mijn administratie klopt, zonder dat ik erachteraan moest."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sluiting is bijna één-op-één (zie reader §4.2); waar het niet sluit, is meestal de capability te grof of de stage te fijn — pas aan tot ze matchen, en documenteer welke kant is bijgesteld en waarom.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Concreet voorbeeld: een deelnemer geeft een adreswijziging door, ontvangt een bevestigingsmail ("verwerkt"), maar het jaaroverzicht drie maanden later toont nog het oude adres omdat de koppeling naar het deelnemersysteem vertraagd doorwerkt. De capability "Mutatie doorvoeren" is technisch voltooid; de waardestroom is dat niet — en de klacht die volgt, bevestigt precies dat BIZBOK gelijk had met de vijfde stage.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a-b. Modelbevindingen: "Mutatieverzoek ontvangen" en "Bevestiging versturen" — hoge overeenkomst tussen alle vijf afdelingen (bundelingskandidaat). "Identiteit en bevoegdheid vaststellen" — laag vergelijkbaar tussen Begunstigden (streng, fraude-risico) en Adreswijzigingen (licht, hoog volume) — specialisatie nodig, consistent met de parametrisering uit deel 11. "Uitzondering behandelen" bij Waardeoverdrachten vereist juridische specialisatie (wettelijke termijnen, externe partijen) die niet overdraagbaar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Modelantwoord: "Niet volledig reorganiseren, niet volledig gescheiden laten. Intake en bevestiging kunnen gezamenlijk (organisatorische bundeling, gedragen door capability- en waardestroomovereenkomst); autorisatie en uitzonderingsbehandeling blijven gespecialiseerd waar het vermogen dat vereist. De capability map toont wát gedeeld kan worden, de waardestroom bevestigt dat de deelnemerervaring bij bundeling niet verslechtert, de organisatiekaart wijst de concrete teams aan."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Een advies dat alleen op de capability map steunt, ziet dat "Identiteit en bevoegdheid vaststellen" overal bestaat en concludeert ten onrechte dat het overal hetzelfde kan — de organisatiekaart (en de parametriseringsles uit deel 11) laat zien dat de </w:t>
      </w:r>
      <w:r>
        <w:rPr>
          <w:rFonts w:ascii="Calibri" w:cs="Calibri" w:eastAsia="Calibri" w:hAnsi="Calibri"/>
          <w:b w:val="false"/>
          <w:bCs w:val="false"/>
          <w:i/>
          <w:iCs/>
          <w:color w:val="1A1A1A"/>
          <w:sz w:val="21"/>
          <w:szCs w:val="21"/>
        </w:rPr>
        <w:t xml:space="preserve">inhoud</w:t>
      </w:r>
      <w:r>
        <w:rPr>
          <w:rFonts w:ascii="Calibri" w:cs="Calibri" w:eastAsia="Calibri" w:hAnsi="Calibri"/>
          <w:b w:val="false"/>
          <w:bCs w:val="false"/>
          <w:i w:val="false"/>
          <w:iCs w:val="false"/>
          <w:color w:val="1A1A1A"/>
          <w:sz w:val="21"/>
          <w:szCs w:val="21"/>
        </w:rPr>
        <w:t xml:space="preserve"> van dat vermogen wezenlijk verschilt per domein. De capability map toont het skelet; zonder de andere twee views wordt het skelet ten onrechte voor het hele lichaam aangezien.</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4 (peer feedback in deel 13)</w:t>
      </w:r>
    </w:p>
    <w:p>
      <w:pPr>
        <w:spacing w:after="160" w:line="300"/>
        <w:jc w:val="left"/>
      </w:pPr>
      <w:r>
        <w:rPr>
          <w:rFonts w:ascii="Calibri" w:cs="Calibri" w:eastAsia="Calibri" w:hAnsi="Calibri"/>
          <w:b w:val="false"/>
          <w:bCs w:val="false"/>
          <w:i w:val="false"/>
          <w:iCs w:val="false"/>
          <w:color w:val="1A1A1A"/>
          <w:sz w:val="21"/>
          <w:szCs w:val="21"/>
        </w:rPr>
        <w:t xml:space="preserve">Sterk: alle drie views aanwezig én expliciet met elkaar verbonden (niet drie losse plaatjes); het advies genuanceerd (niet "ja reorganiseren" of "nee, niets doen"); de vijfde waardestroomstage niet vergeten. Zwak: alleen de capability map, met een reorganisatie-conclusie die feitelijk op aannames steunt die de andere twee views hadden kunnen toetsen.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2026-08-17T11:47:41.817Z</dcterms:created>
  <dcterms:modified xsi:type="dcterms:W3CDTF">2026-08-17T11:47:41.819Z</dcterms:modified>
</cp:coreProperties>
</file>

<file path=docProps/custom.xml><?xml version="1.0" encoding="utf-8"?>
<Properties xmlns="http://schemas.openxmlformats.org/officeDocument/2006/custom-properties" xmlns:vt="http://schemas.openxmlformats.org/officeDocument/2006/docPropsVTypes"/>
</file>