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2 — Deel 13</w:t>
      </w:r>
    </w:p>
    <w:p>
      <w:pPr>
        <w:spacing w:after="300"/>
      </w:pPr>
      <w:r>
        <w:rPr>
          <w:rFonts w:ascii="Calibri" w:cs="Calibri" w:eastAsia="Calibri" w:hAnsi="Calibri"/>
          <w:b/>
          <w:bCs/>
          <w:color w:val="14213D"/>
          <w:sz w:val="32"/>
          <w:szCs w:val="32"/>
        </w:rPr>
        <w:t xml:space="preserve">Docentenhandleiding — ArchiMate gevorderd I: motivatie- en strategielaag</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Duur: </w:t>
            </w:r>
            <w:r>
              <w:rPr>
                <w:rFonts w:ascii="Calibri" w:cs="Calibri" w:eastAsia="Calibri" w:hAnsi="Calibri"/>
                <w:b w:val="false"/>
                <w:bCs w:val="false"/>
                <w:i/>
                <w:iCs/>
                <w:color w:val="14213D"/>
                <w:sz w:val="20"/>
                <w:szCs w:val="20"/>
              </w:rPr>
              <w:t xml:space="preserve">één dagdeel (4 uur incl. pauze)</w:t>
            </w:r>
            <w:r>
              <w:rPr>
                <w:rFonts w:ascii="Calibri" w:cs="Calibri" w:eastAsia="Calibri" w:hAnsi="Calibri"/>
                <w:b w:val="false"/>
                <w:bCs w:val="false"/>
                <w:i/>
                <w:iCs/>
                <w:color w:val="14213D"/>
                <w:sz w:val="20"/>
                <w:szCs w:val="20"/>
              </w:rPr>
              <w:t xml:space="preserve">   ·   </w:t>
            </w:r>
            <w:r>
              <w:rPr>
                <w:rFonts w:ascii="Calibri" w:cs="Calibri" w:eastAsia="Calibri" w:hAnsi="Calibri"/>
                <w:b/>
                <w:bCs/>
                <w:i/>
                <w:iCs/>
                <w:color w:val="14213D"/>
                <w:sz w:val="20"/>
                <w:szCs w:val="20"/>
              </w:rPr>
              <w:t xml:space="preserve">Groepsgrootte: </w:t>
            </w:r>
            <w:r>
              <w:rPr>
                <w:rFonts w:ascii="Calibri" w:cs="Calibri" w:eastAsia="Calibri" w:hAnsi="Calibri"/>
                <w:b w:val="false"/>
                <w:bCs w:val="false"/>
                <w:i/>
                <w:iCs/>
                <w:color w:val="14213D"/>
                <w:sz w:val="20"/>
                <w:szCs w:val="20"/>
              </w:rPr>
              <w:t xml:space="preserve">8-16</w:t>
            </w:r>
            <w:r>
              <w:rPr>
                <w:rFonts w:ascii="Calibri" w:cs="Calibri" w:eastAsia="Calibri" w:hAnsi="Calibri"/>
                <w:b w:val="false"/>
                <w:bCs w:val="false"/>
                <w:i/>
                <w:iCs/>
                <w:color w:val="14213D"/>
                <w:sz w:val="20"/>
                <w:szCs w:val="20"/>
              </w:rPr>
              <w:t xml:space="preserve">   ·   </w:t>
            </w:r>
            <w:r>
              <w:rPr>
                <w:rFonts w:ascii="Calibri" w:cs="Calibri" w:eastAsia="Calibri" w:hAnsi="Calibri"/>
                <w:b/>
                <w:bCs/>
                <w:i/>
                <w:iCs/>
                <w:color w:val="14213D"/>
                <w:sz w:val="20"/>
                <w:szCs w:val="20"/>
              </w:rPr>
              <w:t xml:space="preserve">Voorkennis: </w:t>
            </w:r>
            <w:r>
              <w:rPr>
                <w:rFonts w:ascii="Calibri" w:cs="Calibri" w:eastAsia="Calibri" w:hAnsi="Calibri"/>
                <w:b w:val="false"/>
                <w:bCs w:val="false"/>
                <w:i/>
                <w:iCs/>
                <w:color w:val="14213D"/>
                <w:sz w:val="20"/>
                <w:szCs w:val="20"/>
              </w:rPr>
              <w:t xml:space="preserve">niveau 1 deel 8 (ArchiMate basis), deel 3 (stakeholder/driver/goal), deel 9 (principes)</w:t>
            </w:r>
            <w:r>
              <w:rPr>
                <w:rFonts w:ascii="Calibri" w:cs="Calibri" w:eastAsia="Calibri" w:hAnsi="Calibri"/>
                <w:b w:val="false"/>
                <w:bCs w:val="false"/>
                <w:i/>
                <w:iCs/>
                <w:color w:val="14213D"/>
                <w:sz w:val="20"/>
                <w:szCs w:val="20"/>
              </w:rPr>
              <w:t xml:space="preserve">   ·   </w:t>
            </w:r>
            <w:r>
              <w:rPr>
                <w:rFonts w:ascii="Calibri" w:cs="Calibri" w:eastAsia="Calibri" w:hAnsi="Calibri"/>
                <w:b/>
                <w:bCs/>
                <w:i/>
                <w:iCs/>
                <w:color w:val="14213D"/>
                <w:sz w:val="20"/>
                <w:szCs w:val="20"/>
              </w:rPr>
              <w:t xml:space="preserve">Materiaal: </w:t>
            </w:r>
            <w:r>
              <w:rPr>
                <w:rFonts w:ascii="Calibri" w:cs="Calibri" w:eastAsia="Calibri" w:hAnsi="Calibri"/>
                <w:b w:val="false"/>
                <w:bCs w:val="false"/>
                <w:i/>
                <w:iCs/>
                <w:color w:val="14213D"/>
                <w:sz w:val="20"/>
                <w:szCs w:val="20"/>
              </w:rPr>
              <w:t xml:space="preserve">reader/werkboek/slidedeck deel 13, whiteboards, kleurcode-kaartjes uitgebreid met motivatie-kleur (traditioneel paars/lila) en strategie-kleur (geel/goud)</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Plaats van dit deel in het niveau</w:t>
      </w:r>
    </w:p>
    <w:p>
      <w:pPr>
        <w:spacing w:after="160" w:line="300"/>
        <w:jc w:val="left"/>
      </w:pPr>
      <w:r>
        <w:rPr>
          <w:rFonts w:ascii="Calibri" w:cs="Calibri" w:eastAsia="Calibri" w:hAnsi="Calibri"/>
          <w:b w:val="false"/>
          <w:bCs w:val="false"/>
          <w:i w:val="false"/>
          <w:iCs w:val="false"/>
          <w:color w:val="1A1A1A"/>
          <w:sz w:val="21"/>
          <w:szCs w:val="21"/>
        </w:rPr>
        <w:t xml:space="preserve">Dit deel is een "eindelijk"-moment: capability en principe kregen in niveau 1 een tekstuele behandeling zonder formeel modelelement — vandaag krijgen ze dat. Speel dat gevoel bewust uit bij de opening; deelnemers die het gemis in deel 8 (niveau 1) voelden, krijgen hier hun antwoord.</w:t>
      </w:r>
    </w:p>
    <w:p>
      <w:pPr>
        <w:spacing w:after="160" w:line="300"/>
        <w:jc w:val="left"/>
      </w:pPr>
      <w:r>
        <w:rPr>
          <w:rFonts w:ascii="Calibri" w:cs="Calibri" w:eastAsia="Calibri" w:hAnsi="Calibri"/>
          <w:b w:val="false"/>
          <w:bCs w:val="false"/>
          <w:i w:val="false"/>
          <w:iCs w:val="false"/>
          <w:color w:val="1A1A1A"/>
          <w:sz w:val="21"/>
          <w:szCs w:val="21"/>
        </w:rPr>
        <w:t xml:space="preserve">Influence versus realization is de nieuwe compositie/aggregatie-valkuil van dit deel — behandel haar met evenveel zorg als niveau 1, deel 8 aan die eerdere valkuil besteedde.</w:t>
      </w:r>
    </w:p>
    <w:p>
      <w:pPr>
        <w:pStyle w:val="Heading2"/>
        <w:pBdr>
          <w:bottom w:val="single" w:color="2563A8" w:sz="6" w:space="4"/>
        </w:pBdr>
        <w:spacing w:after="160" w:before="300"/>
      </w:pPr>
      <w:r>
        <w:rPr>
          <w:rFonts w:ascii="Calibri" w:cs="Calibri" w:eastAsia="Calibri" w:hAnsi="Calibri"/>
          <w:b/>
          <w:bCs/>
          <w:color w:val="2563A8"/>
          <w:sz w:val="24"/>
          <w:szCs w:val="24"/>
        </w:rPr>
        <w:t xml:space="preserve">Dagdeelplanning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Slides</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0:00–0:10</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0 — peer feedback</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tweetallen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1–2</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0:10–0:20</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Casus: "waarom staat dit nergens?"</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3–4</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0:20–0:50</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Theorie: motivatielaag + influence/realization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5–9</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0:50–1:20</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1 — motivatieketen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drietallen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10</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1:20–1:35</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1:35–1:55</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Theorie: strategielaag</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11–13</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1:55–2:20</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2 — capability/resource/course of action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tweetallen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14</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2:20–2:35</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Theorie: implementatie- en migratielaag</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15–16</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2:35–3:05</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3 — value stream en plateaus</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drietallen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17</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3:05–3:45</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4 — de volledige keten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viertallen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18</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3:45–4:00</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Samenvatting + huiswerk</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19–20</w:t>
            </w:r>
          </w:p>
        </w:tc>
      </w:tr>
    </w:tbl>
    <w:p>
      <w:pPr>
        <w:spacing w:before="200"/>
      </w:pP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Didactische aanwijzingen per onderdeel</w:t>
      </w:r>
    </w:p>
    <w:p>
      <w:pPr>
        <w:spacing w:after="160" w:line="300"/>
        <w:jc w:val="left"/>
      </w:pPr>
      <w:r>
        <w:rPr>
          <w:rFonts w:ascii="Calibri" w:cs="Calibri" w:eastAsia="Calibri" w:hAnsi="Calibri"/>
          <w:b/>
          <w:bCs/>
          <w:i w:val="false"/>
          <w:iCs w:val="false"/>
          <w:color w:val="1A1A1A"/>
          <w:sz w:val="21"/>
          <w:szCs w:val="21"/>
        </w:rPr>
        <w:t xml:space="preserve">Theorie motivatielaag.</w:t>
      </w:r>
      <w:r>
        <w:rPr>
          <w:rFonts w:ascii="Calibri" w:cs="Calibri" w:eastAsia="Calibri" w:hAnsi="Calibri"/>
          <w:b w:val="false"/>
          <w:bCs w:val="false"/>
          <w:i w:val="false"/>
          <w:iCs w:val="false"/>
          <w:color w:val="1A1A1A"/>
          <w:sz w:val="21"/>
          <w:szCs w:val="21"/>
        </w:rPr>
        <w:t xml:space="preserve"> Werk met de kleurcode consequent (niveau 1, deel 8 introduceerde die gewoonte al voor de kernlagen); geef motivatie- en strategie-elementen hun eigen kleur zodat een gemengd diagram in opdracht 4 meteen leesbaar is.</w:t>
      </w:r>
    </w:p>
    <w:p>
      <w:pPr>
        <w:spacing w:after="160" w:line="300"/>
        <w:jc w:val="left"/>
      </w:pPr>
      <w:r>
        <w:rPr>
          <w:rFonts w:ascii="Calibri" w:cs="Calibri" w:eastAsia="Calibri" w:hAnsi="Calibri"/>
          <w:b/>
          <w:bCs/>
          <w:i w:val="false"/>
          <w:iCs w:val="false"/>
          <w:color w:val="1A1A1A"/>
          <w:sz w:val="21"/>
          <w:szCs w:val="21"/>
        </w:rPr>
        <w:t xml:space="preserve">Opdracht 1d.</w:t>
      </w:r>
      <w:r>
        <w:rPr>
          <w:rFonts w:ascii="Calibri" w:cs="Calibri" w:eastAsia="Calibri" w:hAnsi="Calibri"/>
          <w:b w:val="false"/>
          <w:bCs w:val="false"/>
          <w:i w:val="false"/>
          <w:iCs w:val="false"/>
          <w:color w:val="1A1A1A"/>
          <w:sz w:val="21"/>
          <w:szCs w:val="21"/>
        </w:rPr>
        <w:t xml:space="preserve"> Dit is de kernvalkuil van het dagdeel — behandel haar net zo zorgvuldig als de compositie/aggregatie-uitleg in niveau 1, deel 8. Vuistregel om aan te reiken: "beïnvloedt" past bij twee elementen van vergelijkbare aard (twee motivatie-elementen); "wordt gerealiseerd door" past wanneer een concreter, ander-laags element een abstracter element waarmaakt.</w:t>
      </w:r>
    </w:p>
    <w:p>
      <w:pPr>
        <w:spacing w:after="160" w:line="300"/>
        <w:jc w:val="left"/>
      </w:pPr>
      <w:r>
        <w:rPr>
          <w:rFonts w:ascii="Calibri" w:cs="Calibri" w:eastAsia="Calibri" w:hAnsi="Calibri"/>
          <w:b/>
          <w:bCs/>
          <w:i w:val="false"/>
          <w:iCs w:val="false"/>
          <w:color w:val="1A1A1A"/>
          <w:sz w:val="21"/>
          <w:szCs w:val="21"/>
        </w:rPr>
        <w:t xml:space="preserve">Opdracht 3c.</w:t>
      </w:r>
      <w:r>
        <w:rPr>
          <w:rFonts w:ascii="Calibri" w:cs="Calibri" w:eastAsia="Calibri" w:hAnsi="Calibri"/>
          <w:b w:val="false"/>
          <w:bCs w:val="false"/>
          <w:i w:val="false"/>
          <w:iCs w:val="false"/>
          <w:color w:val="1A1A1A"/>
          <w:sz w:val="21"/>
          <w:szCs w:val="21"/>
        </w:rPr>
        <w:t xml:space="preserve"> Laat de groep het antwoord zelf vinden door een bewust onvolledig plateau-diagram te tonen (één werkpakket "vergeten") en te vragen wat er meteen opvalt — vergelijk dat met dezelfde onvolledigheid in tekstvorm, die zij eerder moeten lezen om te ontdekken.</w:t>
      </w:r>
    </w:p>
    <w:p>
      <w:pPr>
        <w:spacing w:after="160" w:line="300"/>
        <w:jc w:val="left"/>
      </w:pPr>
      <w:r>
        <w:rPr>
          <w:rFonts w:ascii="Calibri" w:cs="Calibri" w:eastAsia="Calibri" w:hAnsi="Calibri"/>
          <w:b/>
          <w:bCs/>
          <w:i w:val="false"/>
          <w:iCs w:val="false"/>
          <w:color w:val="1A1A1A"/>
          <w:sz w:val="21"/>
          <w:szCs w:val="21"/>
        </w:rPr>
        <w:t xml:space="preserve">Opdracht 4 — climax.</w:t>
      </w:r>
      <w:r>
        <w:rPr>
          <w:rFonts w:ascii="Calibri" w:cs="Calibri" w:eastAsia="Calibri" w:hAnsi="Calibri"/>
          <w:b w:val="false"/>
          <w:bCs w:val="false"/>
          <w:i w:val="false"/>
          <w:iCs w:val="false"/>
          <w:color w:val="1A1A1A"/>
          <w:sz w:val="21"/>
          <w:szCs w:val="21"/>
        </w:rPr>
        <w:t xml:space="preserve"> Laat viertallen bewust een willekeurig element kiezen voor onderdeel b (niet het makkelijkste) — de oefening in terugredeneren is waardevoller met een lastiger startpunt. Loop rond en daag groepjes uit een element te zoeken dat ze </w:t>
      </w:r>
      <w:r>
        <w:rPr>
          <w:rFonts w:ascii="Calibri" w:cs="Calibri" w:eastAsia="Calibri" w:hAnsi="Calibri"/>
          <w:b w:val="false"/>
          <w:bCs w:val="false"/>
          <w:i/>
          <w:iCs/>
          <w:color w:val="1A1A1A"/>
          <w:sz w:val="21"/>
          <w:szCs w:val="21"/>
        </w:rPr>
        <w:t xml:space="preserve">niet</w:t>
      </w:r>
      <w:r>
        <w:rPr>
          <w:rFonts w:ascii="Calibri" w:cs="Calibri" w:eastAsia="Calibri" w:hAnsi="Calibri"/>
          <w:b w:val="false"/>
          <w:bCs w:val="false"/>
          <w:i w:val="false"/>
          <w:iCs w:val="false"/>
          <w:color w:val="1A1A1A"/>
          <w:sz w:val="21"/>
          <w:szCs w:val="21"/>
        </w:rPr>
        <w:t xml:space="preserve"> in de keten kunnen plaatsen — dat levert het beste gesprek op over onderdeel c.</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Veelgestelde vragen en gevoeligheden</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"Moet echt elk element in de keten passen?"</w:t>
      </w:r>
      <w:r>
        <w:rPr>
          <w:rFonts w:ascii="Calibri" w:cs="Calibri" w:eastAsia="Calibri" w:hAnsi="Calibri"/>
          <w:b w:val="false"/>
          <w:bCs w:val="false"/>
          <w:i w:val="false"/>
          <w:iCs w:val="false"/>
          <w:color w:val="1A1A1A"/>
          <w:sz w:val="21"/>
          <w:szCs w:val="21"/>
        </w:rPr>
        <w:t xml:space="preserve"> — In theorie ja, in de praktijk is dit een streefbeeld: een volwassen architectuurfunctie kan de meeste elementen traceren, zonder dat elk denkbaar element formeel gemodelleerd hoeft te zijn. Het gaat om het vermogen om de vraag te beantwoorden, niet om honderd procent modelvolledigheid.</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"Is dit niet gewoon een businesscase in tekenvorm?"</w:t>
      </w:r>
      <w:r>
        <w:rPr>
          <w:rFonts w:ascii="Calibri" w:cs="Calibri" w:eastAsia="Calibri" w:hAnsi="Calibri"/>
          <w:b w:val="false"/>
          <w:bCs w:val="false"/>
          <w:i w:val="false"/>
          <w:iCs w:val="false"/>
          <w:color w:val="1A1A1A"/>
          <w:sz w:val="21"/>
          <w:szCs w:val="21"/>
        </w:rPr>
        <w:t xml:space="preserve"> — Verwant, en dat is een compliment aan de taal: een businesscase beargumenteert vaak precies deze keten in proza. ArchiMate maakt haar controleerbaar en herbruikbaar.</w:t>
      </w:r>
    </w:p>
    <w:p>
      <w:pPr>
        <w:pStyle w:val="Heading2"/>
        <w:pBdr>
          <w:bottom w:val="single" w:color="2563A8" w:sz="6" w:space="4"/>
        </w:pBdr>
        <w:spacing w:after="160" w:before="300"/>
      </w:pPr>
      <w:r>
        <w:rPr>
          <w:rFonts w:ascii="Calibri" w:cs="Calibri" w:eastAsia="Calibri" w:hAnsi="Calibri"/>
          <w:b/>
          <w:bCs/>
          <w:color w:val="2563A8"/>
          <w:sz w:val="24"/>
          <w:szCs w:val="24"/>
        </w:rPr>
        <w:t xml:space="preserve">Voorbereiding volgende bijeenkomst</w:t>
      </w:r>
    </w:p>
    <w:p>
      <w:pPr>
        <w:spacing w:after="160" w:line="300"/>
        <w:jc w:val="left"/>
      </w:pPr>
      <w:r>
        <w:rPr>
          <w:rFonts w:ascii="Calibri" w:cs="Calibri" w:eastAsia="Calibri" w:hAnsi="Calibri"/>
          <w:b w:val="false"/>
          <w:bCs w:val="false"/>
          <w:i w:val="false"/>
          <w:iCs w:val="false"/>
          <w:color w:val="1A1A1A"/>
          <w:sz w:val="21"/>
          <w:szCs w:val="21"/>
        </w:rPr>
        <w:t xml:space="preserve">Ketens vooraf laten inleveren; scan op consequente influence/realization-toepassing. Deel 14 (viewpoints, modelbeheer) gaat over wie dit groeiende model mag wijzigen — een vraag die na vandaag's uitbreiding van het model urgenter aanvoelt.</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13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2026-08-17T11:47:50.819Z</dcterms:created>
  <dcterms:modified xsi:type="dcterms:W3CDTF">2026-08-17T11:47:50.821Z</dcterms:modified>
</cp:coreProperties>
</file>

<file path=docProps/custom.xml><?xml version="1.0" encoding="utf-8"?>
<Properties xmlns="http://schemas.openxmlformats.org/officeDocument/2006/custom-properties" xmlns:vt="http://schemas.openxmlformats.org/officeDocument/2006/docPropsVTypes"/>
</file>