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14</w:t>
      </w:r>
    </w:p>
    <w:p>
      <w:pPr>
        <w:spacing w:after="300"/>
      </w:pPr>
      <w:r>
        <w:rPr>
          <w:rFonts w:ascii="Calibri" w:cs="Calibri" w:eastAsia="Calibri" w:hAnsi="Calibri"/>
          <w:b/>
          <w:bCs/>
          <w:color w:val="14213D"/>
          <w:sz w:val="34"/>
          <w:szCs w:val="34"/>
        </w:rPr>
        <w:t xml:space="preserve">Werkboek — ArchiMate gevorderd II: viewpoints en modelbeheer</w:t>
      </w:r>
    </w:p>
    <w:p>
      <w:pPr>
        <w:spacing w:after="160" w:line="300"/>
        <w:jc w:val="left"/>
      </w:pPr>
      <w:r>
        <w:rPr>
          <w:rFonts w:ascii="Calibri" w:cs="Calibri" w:eastAsia="Calibri" w:hAnsi="Calibri"/>
          <w:b w:val="false"/>
          <w:bCs w:val="false"/>
          <w:i w:val="false"/>
          <w:iCs w:val="false"/>
          <w:color w:val="1A1A1A"/>
          <w:sz w:val="21"/>
          <w:szCs w:val="21"/>
        </w:rPr>
        <w:t xml:space="preserve">Elke opdracht sluit af met een verantwoordingsvraag. Benodigd: reader deel 14, uw programmadossier.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traceerketen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"Kan iemand die het programma niet kent, aan deze keten aflezen wáárom het Mutatieplatform bestaat?"</w:t>
      </w:r>
      <w:r>
        <w:rPr>
          <w:rFonts w:ascii="Calibri" w:cs="Calibri" w:eastAsia="Calibri" w:hAnsi="Calibri"/>
          <w:b w:val="false"/>
          <w:bCs w:val="false"/>
          <w:i w:val="false"/>
          <w:iCs w:val="false"/>
          <w:color w:val="1A1A1A"/>
          <w:sz w:val="21"/>
          <w:szCs w:val="21"/>
        </w:rPr>
        <w:t xml:space="preserve"> Eén verbetersuggestie.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Viewpoint matchen (20 min, individueel, daarna plenair)</w:t>
      </w:r>
    </w:p>
    <w:p>
      <w:pPr>
        <w:spacing w:after="160" w:line="300"/>
        <w:jc w:val="left"/>
      </w:pPr>
      <w:r>
        <w:rPr>
          <w:rFonts w:ascii="Calibri" w:cs="Calibri" w:eastAsia="Calibri" w:hAnsi="Calibri"/>
          <w:b w:val="false"/>
          <w:bCs w:val="false"/>
          <w:i w:val="false"/>
          <w:iCs w:val="false"/>
          <w:color w:val="1A1A1A"/>
          <w:sz w:val="21"/>
          <w:szCs w:val="21"/>
        </w:rPr>
        <w:t xml:space="preserve">Match elke stakeholdervraag met het meest passende formele viewpoint uit de reader: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"Ik wil in twee minuten snappen wat dit programma doet." (directielid, geen architectuurervaring)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applicaties praten met welke, en via welke koppelvlakken?" (integratiearchitect)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"Waarom bouwen we dit eigenlijk, en voor wie?" (nieuwe opdrachtgever)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"Wanneer is welk werkpakket klaar, en wat is de tussenstand?" (programmamanager)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"Hoe werken de vijf teams straks samen op hetzelfde proces?" (teamlead)</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kies er één waarvoor ook een tweede viewpoint verdedigbaar zou zijn, en leg uit waarom.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Een eigen viewpoint ontwerpen (30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Ontwerp de FG-view uit de reader zelf, stap voor stap volgens de vijf ontwerpvragen (doel, stakeholder, scope, detailniveau, notatie).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Ontwerp een tweede, eigen viewpoint voor een stakeholder uit uw programmadossier die nog geen view heeft.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 element zou u bewust weglaten uit uw eigen viewpoint (b), ook al hoort het inhoudelijk bij het onderwerp — en waarom maakt weglaten de view sterker?</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Modelgovernance ontwerpen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Bepaal het eigenaarschap voor drie modelelementen uit uw programmamodel: één generiek (kern), één specialisatie (bijvoorbeeld Begunstigden-specifiek), één grensgeval (bijvoorbeeld een element dat twee domeinen raakt).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Ontwerp de escalatieroute: wanneer gaat een modelconflict naar het architectuurgremium (niveau 1, deel 9), wanneer wordt het onderling opgelost?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modelgovernance geen nieuw orgaan maar een taak van het bestaande gremium? Wat zou er misgaan bij een apart "modelcomité"?</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De vijf views voor de stuurgroep (35 min, viertallen)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Schets voor elk van de vijf views uit de reader §5 in twee zinnen: wat staat erop, wat bewust niet.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Kies er één uit en werk hem daadwerkelijk uit (tekening of gedetailleerde beschrijving).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als de stuurgroep maar één view zou mogen zien, welke, en waarom is dat verdedigbaar zonder de andere vier overbodig te maken?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de vijf views als programmadossier-hoofdstuk (schriftelijk, inleveren vóór deel 15)</w:t>
      </w:r>
    </w:p>
    <w:p>
      <w:pPr>
        <w:spacing w:after="160" w:line="300"/>
        <w:jc w:val="left"/>
      </w:pPr>
      <w:r>
        <w:rPr>
          <w:rFonts w:ascii="Calibri" w:cs="Calibri" w:eastAsia="Calibri" w:hAnsi="Calibri"/>
          <w:b w:val="false"/>
          <w:bCs w:val="false"/>
          <w:i w:val="false"/>
          <w:iCs w:val="false"/>
          <w:color w:val="1A1A1A"/>
          <w:sz w:val="21"/>
          <w:szCs w:val="21"/>
        </w:rPr>
        <w:t xml:space="preserve">Voeg een hoofdstuk toe: de vijf views voor de stuurgroep, plus het modelgovernanceproces (max. twee A4). Deel 15 opent met peer feedback.</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1 → Introductory · 2 → Application Cooperation · 3 → Motivation · 4 → Implementation &amp; Migration · 5 → Business Process Cooperation.</w:t>
      </w:r>
    </w:p>
    <w:p>
      <w:pPr>
        <w:spacing w:after="160" w:line="300"/>
        <w:jc w:val="left"/>
      </w:pPr>
      <w:r>
        <w:rPr>
          <w:rFonts w:ascii="Calibri" w:cs="Calibri" w:eastAsia="Calibri" w:hAnsi="Calibri"/>
          <w:b w:val="false"/>
          <w:bCs w:val="false"/>
          <w:i w:val="false"/>
          <w:iCs w:val="false"/>
          <w:color w:val="1A1A1A"/>
          <w:sz w:val="21"/>
          <w:szCs w:val="21"/>
        </w:rPr>
        <w:t xml:space="preserve">Verantwoording: nummer 3 zou ook deels door Introductory gedekt kunnen worden als de opdrachtgever weinig tijd heeft — het verschil zit in diepgang: Motivation toont de volledige onderbouwingsketen, Introductory geeft alleen het eindresultaat in vereenvoudigde vorm.</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Doel: welke persoonsgegevens stromen waar, wie kan wijzigen · Stakeholder: FG, vakinhoudelijk maar geen architect · Scope: data objects, application components, access-relaties, géén business/technologielaag · Detailniveau: volledig, geen versimpeling · Notatie: volledige ArchiMate-notatie.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Weglaten versterkt een view omdat elk extra element de leestijd verhoogt zonder de concern te dienen — een view is geen volledigheidsbewijs maar een gericht antwoord; alles wat niet bijdraagt aan het concern is ruis die de kernboodschap vertraagt.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Generiek kernelement → architectuurfunctie namens het gremium. Specialisatie-element → de afdelingsarchitect van dat domein, wijzigingsrecht exclusief, leesrecht voor de rest. Grensgeval (raakt twee domeinen) → gedeeld eigenaarschap met verplicht overleg vóór wijziging — vergelijkbaar met de grensbegrip-afspraak uit niveau 1, deel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Onderling oplossen: wijzigingen binnen één domein, of een grensgeval waar beide eigenaren het eens zijn. Escaleren: een wijziging aan de generieke kern die een specialisatie raakt zonder voorafgaand overleg, of een blijvend geschil tussen twee domeineigenaren.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Een apart modelcomité zou, net als een te zwaar architectuurgremium (niveau 1, deel 9, opdracht 4e), een tweede orgaan worden dat besluiten vertraagt en waarvan de relatie tot het "echte" gremium onduidelijk is — precies het risico dat het ondergronds-patroon opnieuw triggert: mensen wijzigen het model dan gewoon zonder het comité te raadplegen.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a-b. Modelschets Application Cooperation-view: toont de vijf domeinsystemen en hun koppelingen met de generieke kerncapability-drager, bewust zonder businesslaag-detail (dat hoort bij de Business Process Cooperation-view) en zonder motivatie-elementen (die horen bij de Motivation-view).</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Modelantwoord: de Implementation &amp; Migration-view, omdat een stuurgroep primair stuurt op voortgang en volgorde — maar dit antwoord is alleen verdedigbaar zolang de stuurgroep vertrouwt dat de andere views bestaan en op verzoek beschikbaar zijn; één view als enige optie zonder de andere vier zou het B9-risico (niveau 1) herintroduceren — sturen zonder samenhangbeeld.</w:t>
      </w:r>
    </w:p>
    <w:p>
      <w:pPr>
        <w:spacing w:after="160" w:line="300"/>
        <w:jc w:val="left"/>
      </w:pPr>
      <w:r>
        <w:rPr>
          <w:rFonts w:ascii="Calibri" w:cs="Calibri" w:eastAsia="Calibri" w:hAnsi="Calibri"/>
          <w:b w:val="false"/>
          <w:bCs w:val="false"/>
          <w:i w:val="false"/>
          <w:iCs w:val="false"/>
          <w:color w:val="1A1A1A"/>
          <w:sz w:val="21"/>
          <w:szCs w:val="21"/>
        </w:rPr>
        <w:t xml:space="preserve">## Beoordelingskader opdracht 5 (peer feedback in deel 15)</w:t>
      </w:r>
    </w:p>
    <w:p>
      <w:pPr>
        <w:spacing w:after="160" w:line="300"/>
        <w:jc w:val="left"/>
      </w:pPr>
      <w:r>
        <w:rPr>
          <w:rFonts w:ascii="Calibri" w:cs="Calibri" w:eastAsia="Calibri" w:hAnsi="Calibri"/>
          <w:b w:val="false"/>
          <w:bCs w:val="false"/>
          <w:i w:val="false"/>
          <w:iCs w:val="false"/>
          <w:color w:val="1A1A1A"/>
          <w:sz w:val="21"/>
          <w:szCs w:val="21"/>
        </w:rPr>
        <w:t xml:space="preserve">Sterk: alle vijf views herkenbaar met een eigen, niet-overlappend doel; het governanceproces koppelt expliciet terug naar het architectuurgremium. Zwak: vijf views die feitelijk hetzelfde tonen in een andere jas; modelgovernance zonder escalatieroute.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2026-08-17T11:47:55.521Z</dcterms:created>
  <dcterms:modified xsi:type="dcterms:W3CDTF">2026-08-17T11:47:55.522Z</dcterms:modified>
</cp:coreProperties>
</file>

<file path=docProps/custom.xml><?xml version="1.0" encoding="utf-8"?>
<Properties xmlns="http://schemas.openxmlformats.org/officeDocument/2006/custom-properties" xmlns:vt="http://schemas.openxmlformats.org/officeDocument/2006/docPropsVTypes"/>
</file>