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2563A8"/>
          <w:sz w:val="20"/>
          <w:szCs w:val="20"/>
        </w:rPr>
        <w:t xml:space="preserve">BUSINESS &amp; ENTERPRISE ARCHITECTUUR</w:t>
      </w:r>
    </w:p>
    <w:p>
      <w:pPr>
        <w:spacing w:after="40"/>
      </w:pPr>
      <w:r>
        <w:rPr>
          <w:rFonts w:ascii="Calibri" w:cs="Calibri" w:eastAsia="Calibri" w:hAnsi="Calibri"/>
          <w:color w:val="6B7280"/>
          <w:sz w:val="22"/>
          <w:szCs w:val="22"/>
        </w:rPr>
        <w:t xml:space="preserve">Niveau 2 — Deel 16</w:t>
      </w:r>
    </w:p>
    <w:p>
      <w:pPr>
        <w:spacing w:after="300"/>
      </w:pPr>
      <w:r>
        <w:rPr>
          <w:rFonts w:ascii="Calibri" w:cs="Calibri" w:eastAsia="Calibri" w:hAnsi="Calibri"/>
          <w:b/>
          <w:bCs/>
          <w:color w:val="14213D"/>
          <w:sz w:val="34"/>
          <w:szCs w:val="34"/>
        </w:rPr>
        <w:t xml:space="preserve">Werkboek — Data- en integratiearchitectuur</w:t>
      </w:r>
    </w:p>
    <w:p>
      <w:pPr>
        <w:spacing w:after="160" w:line="300"/>
        <w:jc w:val="left"/>
      </w:pPr>
      <w:r>
        <w:rPr>
          <w:rFonts w:ascii="Calibri" w:cs="Calibri" w:eastAsia="Calibri" w:hAnsi="Calibri"/>
          <w:b w:val="false"/>
          <w:bCs w:val="false"/>
          <w:i w:val="false"/>
          <w:iCs w:val="false"/>
          <w:color w:val="1A1A1A"/>
          <w:sz w:val="21"/>
          <w:szCs w:val="21"/>
        </w:rPr>
        <w:t xml:space="preserve">Elke opdracht sluit af met een verantwoordingsvraag. Benodigd: reader deel 16, uw programmadossier.</w:t>
      </w:r>
    </w:p>
    <w:p>
      <w:pPr>
        <w:pStyle w:val="Heading2"/>
        <w:pBdr>
          <w:bottom w:val="single" w:color="2563A8" w:sz="6" w:space="4"/>
        </w:pBdr>
        <w:spacing w:after="160" w:before="300"/>
      </w:pPr>
      <w:r>
        <w:rPr>
          <w:rFonts w:ascii="Calibri" w:cs="Calibri" w:eastAsia="Calibri" w:hAnsi="Calibri"/>
          <w:b/>
          <w:bCs/>
          <w:color w:val="2563A8"/>
          <w:sz w:val="24"/>
          <w:szCs w:val="24"/>
        </w:rPr>
        <w:t xml:space="preserve">Opdracht 0 — Peer feedback PSA + wijzigingslog (10 min, tweetallen)</w:t>
      </w:r>
    </w:p>
    <w:p>
      <w:pPr>
        <w:spacing w:after="160" w:line="300"/>
        <w:jc w:val="left"/>
      </w:pPr>
      <w:r>
        <w:rPr>
          <w:rFonts w:ascii="Calibri" w:cs="Calibri" w:eastAsia="Calibri" w:hAnsi="Calibri"/>
          <w:b w:val="false"/>
          <w:bCs w:val="false"/>
          <w:i w:val="false"/>
          <w:iCs w:val="false"/>
          <w:color w:val="1A1A1A"/>
          <w:sz w:val="21"/>
          <w:szCs w:val="21"/>
        </w:rPr>
        <w:t xml:space="preserve">Wissel uit. Schriftelijk: </w:t>
      </w:r>
      <w:r>
        <w:rPr>
          <w:rFonts w:ascii="Calibri" w:cs="Calibri" w:eastAsia="Calibri" w:hAnsi="Calibri"/>
          <w:b/>
          <w:bCs/>
          <w:i w:val="false"/>
          <w:iCs w:val="false"/>
          <w:color w:val="1A1A1A"/>
          <w:sz w:val="21"/>
          <w:szCs w:val="21"/>
        </w:rPr>
        <w:t xml:space="preserve">"Bevat deze PSA precies het verschil tussen overal-geldig en hier-geldig, of herhaalt hij het generieke contract?"</w:t>
      </w:r>
    </w:p>
    <w:p>
      <w:pPr>
        <w:pStyle w:val="Heading2"/>
        <w:pBdr>
          <w:bottom w:val="single" w:color="2563A8" w:sz="6" w:space="4"/>
        </w:pBdr>
        <w:spacing w:after="160" w:before="300"/>
      </w:pPr>
      <w:r>
        <w:rPr>
          <w:rFonts w:ascii="Calibri" w:cs="Calibri" w:eastAsia="Calibri" w:hAnsi="Calibri"/>
          <w:b/>
          <w:bCs/>
          <w:color w:val="2563A8"/>
          <w:sz w:val="24"/>
          <w:szCs w:val="24"/>
        </w:rPr>
        <w:t xml:space="preserve">Opdracht 1 — Het gedeelde datamodel (30 min, drietallen)</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a. </w:t>
      </w:r>
      <w:r>
        <w:rPr>
          <w:rFonts w:ascii="Calibri" w:cs="Calibri" w:eastAsia="Calibri" w:hAnsi="Calibri"/>
          <w:b w:val="false"/>
          <w:bCs w:val="false"/>
          <w:i w:val="false"/>
          <w:iCs w:val="false"/>
          <w:color w:val="1A1A1A"/>
          <w:sz w:val="21"/>
          <w:szCs w:val="21"/>
        </w:rPr>
        <w:t xml:space="preserve">Modelleer de generieke kern (Mutatieverzoek, Autorisatiebeslissing) en werk twee domeinspecifieke uitbreidingen uit (Dienstverbandwijziging, Begunstigdewijziging), inclusief hun relatie naar de generieke kern.</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b. </w:t>
      </w:r>
      <w:r>
        <w:rPr>
          <w:rFonts w:ascii="Calibri" w:cs="Calibri" w:eastAsia="Calibri" w:hAnsi="Calibri"/>
          <w:b w:val="false"/>
          <w:bCs w:val="false"/>
          <w:i w:val="false"/>
          <w:iCs w:val="false"/>
          <w:color w:val="1A1A1A"/>
          <w:sz w:val="21"/>
          <w:szCs w:val="21"/>
        </w:rPr>
        <w:t xml:space="preserve">Markeer welke velden/attributen generiek zijn (voor alle mutatietypen gelijk) en welke domeinspecifiek.</w:t>
      </w:r>
    </w:p>
    <w:tbl>
      <w:tblPr>
        <w:tblW w:type="pct" w:w="100%"/>
        <w:tblBorders>
          <w:top w:val="single" w:color="E9A13B" w:sz="4"/>
          <w:left w:val="single" w:color="E9A13B" w:sz="24"/>
          <w:bottom w:val="single" w:color="E9A13B" w:sz="4"/>
          <w:right w:val="single" w:color="E9A13B" w:sz="4"/>
          <w:insideH w:val="single" w:color="auto" w:sz="4"/>
          <w:insideV w:val="single" w:color="auto" w:sz="4"/>
        </w:tblBorders>
      </w:tblPr>
      <w:tblGrid>
        <w:gridCol w:w="100"/>
      </w:tblGrid>
      <w:tr>
        <w:tc>
          <w:tcPr>
            <w:shd w:fill="EEF1F6" w:color="auto" w:val="clear"/>
            <w:tcMar>
              <w:top w:type="dxa" w:w="160"/>
              <w:left w:type="dxa" w:w="220"/>
              <w:bottom w:type="dxa" w:w="160"/>
              <w:right w:type="dxa" w:w="220"/>
            </w:tcMar>
          </w:tcPr>
          <w:p>
            <w:pPr>
              <w:spacing w:after="80" w:line="290"/>
            </w:pPr>
            <w:r>
              <w:rPr>
                <w:rFonts w:ascii="Calibri" w:cs="Calibri" w:eastAsia="Calibri" w:hAnsi="Calibri"/>
                <w:b/>
                <w:bCs/>
                <w:i/>
                <w:iCs/>
                <w:color w:val="14213D"/>
                <w:sz w:val="20"/>
                <w:szCs w:val="20"/>
              </w:rPr>
              <w:t xml:space="preserve">Verantwoording: </w:t>
            </w:r>
            <w:r>
              <w:rPr>
                <w:rFonts w:ascii="Calibri" w:cs="Calibri" w:eastAsia="Calibri" w:hAnsi="Calibri"/>
                <w:b w:val="false"/>
                <w:bCs w:val="false"/>
                <w:i/>
                <w:iCs/>
                <w:color w:val="14213D"/>
                <w:sz w:val="20"/>
                <w:szCs w:val="20"/>
              </w:rPr>
              <w:t xml:space="preserve">waarom is het generieke Mutatieverzoek géén nieuwe bronregistratie voor bijvoorbeeld dienstverbandgegevens? Verwijs naar de bronregelspelregels uit niveau 1, deel 5.</w:t>
            </w:r>
          </w:p>
        </w:tc>
      </w:tr>
    </w:tbl>
    <w:p>
      <w:pPr>
        <w:pStyle w:val="Heading2"/>
        <w:pBdr>
          <w:bottom w:val="single" w:color="2563A8" w:sz="6" w:space="4"/>
        </w:pBdr>
        <w:spacing w:after="160" w:before="300"/>
      </w:pPr>
      <w:r>
        <w:rPr>
          <w:rFonts w:ascii="Calibri" w:cs="Calibri" w:eastAsia="Calibri" w:hAnsi="Calibri"/>
          <w:b/>
          <w:bCs/>
          <w:color w:val="2563A8"/>
          <w:sz w:val="24"/>
          <w:szCs w:val="24"/>
        </w:rPr>
        <w:t xml:space="preserve">Opdracht 2 — Orkestratie versus choreografie (25 min, tweetallen)</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a. </w:t>
      </w:r>
      <w:r>
        <w:rPr>
          <w:rFonts w:ascii="Calibri" w:cs="Calibri" w:eastAsia="Calibri" w:hAnsi="Calibri"/>
          <w:b w:val="false"/>
          <w:bCs w:val="false"/>
          <w:i w:val="false"/>
          <w:iCs w:val="false"/>
          <w:color w:val="1A1A1A"/>
          <w:sz w:val="21"/>
          <w:szCs w:val="21"/>
        </w:rPr>
        <w:t xml:space="preserve">Beschrijf hoe orkestratie werkt voor een dienstverbandmutatie: welke stappen roept de generieke laag aan, in welke volgorde.</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b. </w:t>
      </w:r>
      <w:r>
        <w:rPr>
          <w:rFonts w:ascii="Calibri" w:cs="Calibri" w:eastAsia="Calibri" w:hAnsi="Calibri"/>
          <w:b w:val="false"/>
          <w:bCs w:val="false"/>
          <w:i w:val="false"/>
          <w:iCs w:val="false"/>
          <w:color w:val="1A1A1A"/>
          <w:sz w:val="21"/>
          <w:szCs w:val="21"/>
        </w:rPr>
        <w:t xml:space="preserve">Beschrijf hoe hetzelfde scenario er in choreografie zou uitzien.</w:t>
      </w:r>
    </w:p>
    <w:tbl>
      <w:tblPr>
        <w:tblW w:type="pct" w:w="100%"/>
        <w:tblBorders>
          <w:top w:val="single" w:color="E9A13B" w:sz="4"/>
          <w:left w:val="single" w:color="E9A13B" w:sz="24"/>
          <w:bottom w:val="single" w:color="E9A13B" w:sz="4"/>
          <w:right w:val="single" w:color="E9A13B" w:sz="4"/>
          <w:insideH w:val="single" w:color="auto" w:sz="4"/>
          <w:insideV w:val="single" w:color="auto" w:sz="4"/>
        </w:tblBorders>
      </w:tblPr>
      <w:tblGrid>
        <w:gridCol w:w="100"/>
      </w:tblGrid>
      <w:tr>
        <w:tc>
          <w:tcPr>
            <w:shd w:fill="EEF1F6" w:color="auto" w:val="clear"/>
            <w:tcMar>
              <w:top w:type="dxa" w:w="160"/>
              <w:left w:type="dxa" w:w="220"/>
              <w:bottom w:type="dxa" w:w="160"/>
              <w:right w:type="dxa" w:w="220"/>
            </w:tcMar>
          </w:tcPr>
          <w:p>
            <w:pPr>
              <w:spacing w:after="80" w:line="290"/>
            </w:pPr>
            <w:r>
              <w:rPr>
                <w:rFonts w:ascii="Calibri" w:cs="Calibri" w:eastAsia="Calibri" w:hAnsi="Calibri"/>
                <w:b/>
                <w:bCs/>
                <w:i/>
                <w:iCs/>
                <w:color w:val="14213D"/>
                <w:sz w:val="20"/>
                <w:szCs w:val="20"/>
              </w:rPr>
              <w:t xml:space="preserve">Verantwoording: </w:t>
            </w:r>
            <w:r>
              <w:rPr>
                <w:rFonts w:ascii="Calibri" w:cs="Calibri" w:eastAsia="Calibri" w:hAnsi="Calibri"/>
                <w:b w:val="false"/>
                <w:bCs w:val="false"/>
                <w:i/>
                <w:iCs/>
                <w:color w:val="14213D"/>
                <w:sz w:val="20"/>
                <w:szCs w:val="20"/>
              </w:rPr>
              <w:t xml:space="preserve">een ontwikkelaar stelt voor choreografie te gebruiken "want dat is losser gekoppeld en dus beter". Weerleg met het WGP 2.0-argument uit de reader.</w:t>
            </w:r>
          </w:p>
        </w:tc>
      </w:tr>
    </w:tbl>
    <w:p>
      <w:pPr>
        <w:pStyle w:val="Heading2"/>
        <w:pBdr>
          <w:bottom w:val="single" w:color="2563A8" w:sz="6" w:space="4"/>
        </w:pBdr>
        <w:spacing w:after="160" w:before="300"/>
      </w:pPr>
      <w:r>
        <w:rPr>
          <w:rFonts w:ascii="Calibri" w:cs="Calibri" w:eastAsia="Calibri" w:hAnsi="Calibri"/>
          <w:b/>
          <w:bCs/>
          <w:color w:val="2563A8"/>
          <w:sz w:val="24"/>
          <w:szCs w:val="24"/>
        </w:rPr>
        <w:t xml:space="preserve">Opdracht 3 — Data-eigenaarschap bij een gedeelde entiteit (25 min, drietallen)</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a. </w:t>
      </w:r>
      <w:r>
        <w:rPr>
          <w:rFonts w:ascii="Calibri" w:cs="Calibri" w:eastAsia="Calibri" w:hAnsi="Calibri"/>
          <w:b w:val="false"/>
          <w:bCs w:val="false"/>
          <w:i w:val="false"/>
          <w:iCs w:val="false"/>
          <w:color w:val="1A1A1A"/>
          <w:sz w:val="21"/>
          <w:szCs w:val="21"/>
        </w:rPr>
        <w:t xml:space="preserve">Bepaal het eigenaarschap van het generieke Mutatieverzoek-model volgens de reader (§4).</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b. </w:t>
      </w:r>
      <w:r>
        <w:rPr>
          <w:rFonts w:ascii="Calibri" w:cs="Calibri" w:eastAsia="Calibri" w:hAnsi="Calibri"/>
          <w:b w:val="false"/>
          <w:bCs w:val="false"/>
          <w:i w:val="false"/>
          <w:iCs w:val="false"/>
          <w:color w:val="1A1A1A"/>
          <w:sz w:val="21"/>
          <w:szCs w:val="21"/>
        </w:rPr>
        <w:t xml:space="preserve">Simuleer een wijzigingsvraag: Begunstigden wil een extra generiek statusveld ("wacht op tweede autorisator") toevoegen aan Mutatieverzoek. Wie beslist, wie wordt geraadpleegd?</w:t>
      </w:r>
    </w:p>
    <w:tbl>
      <w:tblPr>
        <w:tblW w:type="pct" w:w="100%"/>
        <w:tblBorders>
          <w:top w:val="single" w:color="E9A13B" w:sz="4"/>
          <w:left w:val="single" w:color="E9A13B" w:sz="24"/>
          <w:bottom w:val="single" w:color="E9A13B" w:sz="4"/>
          <w:right w:val="single" w:color="E9A13B" w:sz="4"/>
          <w:insideH w:val="single" w:color="auto" w:sz="4"/>
          <w:insideV w:val="single" w:color="auto" w:sz="4"/>
        </w:tblBorders>
      </w:tblPr>
      <w:tblGrid>
        <w:gridCol w:w="100"/>
      </w:tblGrid>
      <w:tr>
        <w:tc>
          <w:tcPr>
            <w:shd w:fill="EEF1F6" w:color="auto" w:val="clear"/>
            <w:tcMar>
              <w:top w:type="dxa" w:w="160"/>
              <w:left w:type="dxa" w:w="220"/>
              <w:bottom w:type="dxa" w:w="160"/>
              <w:right w:type="dxa" w:w="220"/>
            </w:tcMar>
          </w:tcPr>
          <w:p>
            <w:pPr>
              <w:spacing w:after="80" w:line="290"/>
            </w:pPr>
            <w:r>
              <w:rPr>
                <w:rFonts w:ascii="Calibri" w:cs="Calibri" w:eastAsia="Calibri" w:hAnsi="Calibri"/>
                <w:b/>
                <w:bCs/>
                <w:i/>
                <w:iCs/>
                <w:color w:val="14213D"/>
                <w:sz w:val="20"/>
                <w:szCs w:val="20"/>
              </w:rPr>
              <w:t xml:space="preserve">Verantwoording: </w:t>
            </w:r>
            <w:r>
              <w:rPr>
                <w:rFonts w:ascii="Calibri" w:cs="Calibri" w:eastAsia="Calibri" w:hAnsi="Calibri"/>
                <w:b w:val="false"/>
                <w:bCs w:val="false"/>
                <w:i/>
                <w:iCs/>
                <w:color w:val="14213D"/>
                <w:sz w:val="20"/>
                <w:szCs w:val="20"/>
              </w:rPr>
              <w:t xml:space="preserve">waarom is vijfkoppig eigenaarschap (elk domein evenveel zeggenschap) hier geen goede oplossing?</w:t>
            </w:r>
          </w:p>
        </w:tc>
      </w:tr>
    </w:tbl>
    <w:p>
      <w:pPr>
        <w:pStyle w:val="Heading2"/>
        <w:pBdr>
          <w:bottom w:val="single" w:color="2563A8" w:sz="6" w:space="4"/>
        </w:pBdr>
        <w:spacing w:after="160" w:before="300"/>
      </w:pPr>
      <w:r>
        <w:rPr>
          <w:rFonts w:ascii="Calibri" w:cs="Calibri" w:eastAsia="Calibri" w:hAnsi="Calibri"/>
          <w:b/>
          <w:bCs/>
          <w:color w:val="2563A8"/>
          <w:sz w:val="24"/>
          <w:szCs w:val="24"/>
        </w:rPr>
        <w:t xml:space="preserve">Opdracht 4 — Huiswerk: datamodel + integratiearchitectuur als programmadossier-hoofdstuk (schriftelijk, inleveren vóór deel 17)</w:t>
      </w:r>
    </w:p>
    <w:p>
      <w:pPr>
        <w:spacing w:after="160" w:line="300"/>
        <w:jc w:val="left"/>
      </w:pPr>
      <w:r>
        <w:rPr>
          <w:rFonts w:ascii="Calibri" w:cs="Calibri" w:eastAsia="Calibri" w:hAnsi="Calibri"/>
          <w:b w:val="false"/>
          <w:bCs w:val="false"/>
          <w:i w:val="false"/>
          <w:iCs w:val="false"/>
          <w:color w:val="1A1A1A"/>
          <w:sz w:val="21"/>
          <w:szCs w:val="21"/>
        </w:rPr>
        <w:t xml:space="preserve">Voeg toe: het gedeelde datamodel (opdracht 1), de orkestratiekeuze met motivatie (opdracht 2), en het eigenaarschapsbesluit (opdracht 3) — max. twee A4. Deel 17 opent met peer feedback.</w:t>
      </w:r>
    </w:p>
    <w:p>
      <w:pPr>
        <w:spacing w:after="160" w:line="300"/>
        <w:jc w:val="left"/>
      </w:pPr>
      <w:r>
        <w:rPr>
          <w:rFonts w:ascii="Calibri" w:cs="Calibri" w:eastAsia="Calibri" w:hAnsi="Calibri"/>
          <w:b w:val="false"/>
          <w:bCs w:val="false"/>
          <w:i w:val="false"/>
          <w:iCs w:val="false"/>
          <w:color w:val="1A1A1A"/>
          <w:sz w:val="21"/>
          <w:szCs w:val="21"/>
        </w:rPr>
        <w:t xml:space="preserve">## Modeluitwerkingen</w:t>
      </w:r>
    </w:p>
    <w:p>
      <w:pPr>
        <w:pStyle w:val="Heading2"/>
        <w:pBdr>
          <w:bottom w:val="single" w:color="2563A8" w:sz="6" w:space="4"/>
        </w:pBdr>
        <w:spacing w:after="160" w:before="300"/>
      </w:pPr>
      <w:r>
        <w:rPr>
          <w:rFonts w:ascii="Calibri" w:cs="Calibri" w:eastAsia="Calibri" w:hAnsi="Calibri"/>
          <w:b/>
          <w:bCs/>
          <w:color w:val="2563A8"/>
          <w:sz w:val="24"/>
          <w:szCs w:val="24"/>
        </w:rPr>
        <w:t xml:space="preserve">Uitwerking opdracht 1</w:t>
      </w:r>
    </w:p>
    <w:p>
      <w:pPr>
        <w:spacing w:after="160" w:line="300"/>
        <w:jc w:val="left"/>
      </w:pPr>
      <w:r>
        <w:rPr>
          <w:rFonts w:ascii="Calibri" w:cs="Calibri" w:eastAsia="Calibri" w:hAnsi="Calibri"/>
          <w:b w:val="false"/>
          <w:bCs w:val="false"/>
          <w:i w:val="false"/>
          <w:iCs w:val="false"/>
          <w:color w:val="1A1A1A"/>
          <w:sz w:val="21"/>
          <w:szCs w:val="21"/>
        </w:rPr>
        <w:t xml:space="preserve">a-b. Mutatieverzoek (generiek): id, type, indiener, statusveld, ontvangstdatum. Autorisatiebeslissing (generiek): beslisser, tijdstip, uitkomst, autorisatieniveau (het geparametriseerde niveau uit deel 11). Dienstverbandwijziging (specifiek): peildatum, oude aanlevereenheid, nieuwe aanlevereenheid, opvolgingsrelatie (niveau 1, deel 5). Begunstigdewijziging (specifiek): oude begunstigde, nieuwe begunstigde, tweede autorisator.</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c. </w:t>
      </w:r>
      <w:r>
        <w:rPr>
          <w:rFonts w:ascii="Calibri" w:cs="Calibri" w:eastAsia="Calibri" w:hAnsi="Calibri"/>
          <w:b w:val="false"/>
          <w:bCs w:val="false"/>
          <w:i w:val="false"/>
          <w:iCs w:val="false"/>
          <w:color w:val="1A1A1A"/>
          <w:sz w:val="21"/>
          <w:szCs w:val="21"/>
        </w:rPr>
        <w:t xml:space="preserve">Het generieke model registreert de </w:t>
      </w:r>
      <w:r>
        <w:rPr>
          <w:rFonts w:ascii="Calibri" w:cs="Calibri" w:eastAsia="Calibri" w:hAnsi="Calibri"/>
          <w:b w:val="false"/>
          <w:bCs w:val="false"/>
          <w:i/>
          <w:iCs/>
          <w:color w:val="1A1A1A"/>
          <w:sz w:val="21"/>
          <w:szCs w:val="21"/>
        </w:rPr>
        <w:t xml:space="preserve">status van de verwerking</w:t>
      </w:r>
      <w:r>
        <w:rPr>
          <w:rFonts w:ascii="Calibri" w:cs="Calibri" w:eastAsia="Calibri" w:hAnsi="Calibri"/>
          <w:b w:val="false"/>
          <w:bCs w:val="false"/>
          <w:i w:val="false"/>
          <w:iCs w:val="false"/>
          <w:color w:val="1A1A1A"/>
          <w:sz w:val="21"/>
          <w:szCs w:val="21"/>
        </w:rPr>
        <w:t xml:space="preserve"> (is deze mutatie aangevraagd, geautoriseerd, doorgevoerd), niet de </w:t>
      </w:r>
      <w:r>
        <w:rPr>
          <w:rFonts w:ascii="Calibri" w:cs="Calibri" w:eastAsia="Calibri" w:hAnsi="Calibri"/>
          <w:b w:val="false"/>
          <w:bCs w:val="false"/>
          <w:i/>
          <w:iCs/>
          <w:color w:val="1A1A1A"/>
          <w:sz w:val="21"/>
          <w:szCs w:val="21"/>
        </w:rPr>
        <w:t xml:space="preserve">inhoud</w:t>
      </w:r>
      <w:r>
        <w:rPr>
          <w:rFonts w:ascii="Calibri" w:cs="Calibri" w:eastAsia="Calibri" w:hAnsi="Calibri"/>
          <w:b w:val="false"/>
          <w:bCs w:val="false"/>
          <w:i w:val="false"/>
          <w:iCs w:val="false"/>
          <w:color w:val="1A1A1A"/>
          <w:sz w:val="21"/>
          <w:szCs w:val="21"/>
        </w:rPr>
        <w:t xml:space="preserve"> van bijvoorbeeld het dienstverband zelf — die inhoud blijft in het deelnemersysteem, dat bron blijft conform niveau 1, deel 5, §4 (de bron volgt het ontstaan; dienstverbanden ontstaan niet in een generiek coördinatiesysteem).</w:t>
      </w:r>
    </w:p>
    <w:p>
      <w:pPr>
        <w:pStyle w:val="Heading2"/>
        <w:pBdr>
          <w:bottom w:val="single" w:color="2563A8" w:sz="6" w:space="4"/>
        </w:pBdr>
        <w:spacing w:after="160" w:before="300"/>
      </w:pPr>
      <w:r>
        <w:rPr>
          <w:rFonts w:ascii="Calibri" w:cs="Calibri" w:eastAsia="Calibri" w:hAnsi="Calibri"/>
          <w:b/>
          <w:bCs/>
          <w:color w:val="2563A8"/>
          <w:sz w:val="24"/>
          <w:szCs w:val="24"/>
        </w:rPr>
        <w:t xml:space="preserve">Uitwerking opdracht 2</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a. </w:t>
      </w:r>
      <w:r>
        <w:rPr>
          <w:rFonts w:ascii="Calibri" w:cs="Calibri" w:eastAsia="Calibri" w:hAnsi="Calibri"/>
          <w:b w:val="false"/>
          <w:bCs w:val="false"/>
          <w:i w:val="false"/>
          <w:iCs w:val="false"/>
          <w:color w:val="1A1A1A"/>
          <w:sz w:val="21"/>
          <w:szCs w:val="21"/>
        </w:rPr>
        <w:t xml:space="preserve">Orkestratie: generieke laag ontvangt verzoek → roept autorisatieservice aan → bij goedkeuring roept zij de deelnemersysteem-service "dienstverband wijzigen" aan → ontvangt bevestiging → werkt eigen status bij → stuurt signaal naar het premiesysteem (24-uurs-regel, niveau 1 deel 5) → sluit af.</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b. </w:t>
      </w:r>
      <w:r>
        <w:rPr>
          <w:rFonts w:ascii="Calibri" w:cs="Calibri" w:eastAsia="Calibri" w:hAnsi="Calibri"/>
          <w:b w:val="false"/>
          <w:bCs w:val="false"/>
          <w:i w:val="false"/>
          <w:iCs w:val="false"/>
          <w:color w:val="1A1A1A"/>
          <w:sz w:val="21"/>
          <w:szCs w:val="21"/>
        </w:rPr>
        <w:t xml:space="preserve">Choreografie: het deelnemersysteem publiceert zelf een gebeurtenis "dienstverband gewijzigd" zodra iemand daar direct een wijziging doorvoert; het premiesysteem "luistert" en reageert zelfstandig. Geen centraal punt dat de volledige mutatie als geheel volgt.</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c. </w:t>
      </w:r>
      <w:r>
        <w:rPr>
          <w:rFonts w:ascii="Calibri" w:cs="Calibri" w:eastAsia="Calibri" w:hAnsi="Calibri"/>
          <w:b w:val="false"/>
          <w:bCs w:val="false"/>
          <w:i w:val="false"/>
          <w:iCs w:val="false"/>
          <w:color w:val="1A1A1A"/>
          <w:sz w:val="21"/>
          <w:szCs w:val="21"/>
        </w:rPr>
        <w:t xml:space="preserve">Weerlegging: losse koppeling is een deugd wanneer onafhankelijke, elkaar niet kennende consumenten flexibel moeten kunnen reageren — maar hier is het punt van de generieke laag juist gecentraliseerde coördinatie en overzicht (zodat de status van een mutatie op elk moment navolgbaar is, en fouten niet pas bij "de integratietest" — B7's mechanisme — zichtbaar worden). Choreografie zonder centrale status-tracking zou vijf systemen onafhankelijk laten reageren op dezelfde mutatie, met precies het risico dat niemand meer het complete beeld heeft — de WGP 2.0-fout in nieuwe vorm.</w:t>
      </w:r>
    </w:p>
    <w:p>
      <w:pPr>
        <w:pStyle w:val="Heading2"/>
        <w:pBdr>
          <w:bottom w:val="single" w:color="2563A8" w:sz="6" w:space="4"/>
        </w:pBdr>
        <w:spacing w:after="160" w:before="300"/>
      </w:pPr>
      <w:r>
        <w:rPr>
          <w:rFonts w:ascii="Calibri" w:cs="Calibri" w:eastAsia="Calibri" w:hAnsi="Calibri"/>
          <w:b/>
          <w:bCs/>
          <w:color w:val="2563A8"/>
          <w:sz w:val="24"/>
          <w:szCs w:val="24"/>
        </w:rPr>
        <w:t xml:space="preserve">Uitwerking opdracht 3</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a. </w:t>
      </w:r>
      <w:r>
        <w:rPr>
          <w:rFonts w:ascii="Calibri" w:cs="Calibri" w:eastAsia="Calibri" w:hAnsi="Calibri"/>
          <w:b w:val="false"/>
          <w:bCs w:val="false"/>
          <w:i w:val="false"/>
          <w:iCs w:val="false"/>
          <w:color w:val="1A1A1A"/>
          <w:sz w:val="21"/>
          <w:szCs w:val="21"/>
        </w:rPr>
        <w:t xml:space="preserve">Architectuurfunctie namens het gremium, met de vijf domeinarchitecten als adviserende partijen.</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b. </w:t>
      </w:r>
      <w:r>
        <w:rPr>
          <w:rFonts w:ascii="Calibri" w:cs="Calibri" w:eastAsia="Calibri" w:hAnsi="Calibri"/>
          <w:b w:val="false"/>
          <w:bCs w:val="false"/>
          <w:i w:val="false"/>
          <w:iCs w:val="false"/>
          <w:color w:val="1A1A1A"/>
          <w:sz w:val="21"/>
          <w:szCs w:val="21"/>
        </w:rPr>
        <w:t xml:space="preserve">De architectuurfunctie beoordeelt of het statusveld generiek genoeg is om voor alle domeinen te gelden (waarschijnlijk ja — "wacht op tweede autorisator" is een herbruikbare status, geen Begunstigden-specifiek gegeven); zij raadpleegt de andere vier domeinarchitecten (raakt dit hun ontwerp?) en beslist, met eventuele escalatie naar het gremium bij onenigheid.</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c. </w:t>
      </w:r>
      <w:r>
        <w:rPr>
          <w:rFonts w:ascii="Calibri" w:cs="Calibri" w:eastAsia="Calibri" w:hAnsi="Calibri"/>
          <w:b w:val="false"/>
          <w:bCs w:val="false"/>
          <w:i w:val="false"/>
          <w:iCs w:val="false"/>
          <w:color w:val="1A1A1A"/>
          <w:sz w:val="21"/>
          <w:szCs w:val="21"/>
        </w:rPr>
        <w:t xml:space="preserve">Vijfkoppig eigenaarschap zou elke wijziging aan de generieke laag afhankelijk maken van consensus tussen vijf partijen met deels uiteenlopende belangen — precies het besluitvormingsprobleem dat het architectuurgremium (niveau 1, deel 9) juist moest voorkomen door mandaat en kennis te combineren in een werkbare, kleine groep in plaats van iedereen evenveel stem te geven.</w:t>
      </w:r>
    </w:p>
    <w:p>
      <w:pPr>
        <w:spacing w:after="160" w:line="300"/>
        <w:jc w:val="left"/>
      </w:pPr>
      <w:r>
        <w:rPr>
          <w:rFonts w:ascii="Calibri" w:cs="Calibri" w:eastAsia="Calibri" w:hAnsi="Calibri"/>
          <w:b w:val="false"/>
          <w:bCs w:val="false"/>
          <w:i w:val="false"/>
          <w:iCs w:val="false"/>
          <w:color w:val="1A1A1A"/>
          <w:sz w:val="21"/>
          <w:szCs w:val="21"/>
        </w:rPr>
        <w:t xml:space="preserve">## Beoordelingskader opdracht 4 (peer feedback in deel 17)</w:t>
      </w:r>
    </w:p>
    <w:p>
      <w:pPr>
        <w:spacing w:after="160" w:line="300"/>
        <w:jc w:val="left"/>
      </w:pPr>
      <w:r>
        <w:rPr>
          <w:rFonts w:ascii="Calibri" w:cs="Calibri" w:eastAsia="Calibri" w:hAnsi="Calibri"/>
          <w:b w:val="false"/>
          <w:bCs w:val="false"/>
          <w:i w:val="false"/>
          <w:iCs w:val="false"/>
          <w:color w:val="1A1A1A"/>
          <w:sz w:val="21"/>
          <w:szCs w:val="21"/>
        </w:rPr>
        <w:t xml:space="preserve">Sterk: het datamodel toont expliciet welke velden generiek/specifiek zijn; de orkestratiekeuze is beargumenteerd tegen choreografie, niet alleen beschreven. Zwak: een datamodel dat feitelijk een nieuwe bronregistratie voorstelt zonder dat te beseffen.</w:t>
      </w:r>
    </w:p>
    <w:sectPr>
      <w:headerReference w:type="default" r:id="rId7"/>
      <w:footerReference w:type="default" r:id="rId8"/>
      <w:pgSz w:w="11906" w:h="16838" w:orient="portrait"/>
      <w:pgMar w:top="1100" w:right="1100" w:bottom="11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7280"/>
        <w:sz w:val="15"/>
        <w:szCs w:val="15"/>
      </w:rPr>
      <w:t xml:space="preserve">Business &amp; Enterprise Architectuur — </w:t>
    </w:r>
    <w:r>
      <w:rPr>
        <w:rFonts w:ascii="Calibri" w:cs="Calibri" w:eastAsia="Calibri" w:hAnsi="Calibri"/>
        <w:color w:val="6B7280"/>
        <w:sz w:val="15"/>
        <w:szCs w:val="15"/>
      </w:rPr>
      <w:t xml:space="preserve">pagina </w:t>
    </w:r>
    <w:r>
      <w:rPr>
        <w:rFonts w:ascii="Calibri" w:cs="Calibri" w:eastAsia="Calibri" w:hAnsi="Calibri"/>
        <w:color w:val="6B7280"/>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6B7280"/>
        <w:sz w:val="16"/>
        <w:szCs w:val="16"/>
      </w:rPr>
      <w:t xml:space="preserve">Deel 16 · Werkboek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2026-08-17T11:48:01.612Z</dcterms:created>
  <dcterms:modified xsi:type="dcterms:W3CDTF">2026-08-17T11:48:01.614Z</dcterms:modified>
</cp:coreProperties>
</file>

<file path=docProps/custom.xml><?xml version="1.0" encoding="utf-8"?>
<Properties xmlns="http://schemas.openxmlformats.org/officeDocument/2006/custom-properties" xmlns:vt="http://schemas.openxmlformats.org/officeDocument/2006/docPropsVTypes"/>
</file>