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2563A8"/>
          <w:sz w:val="20"/>
          <w:szCs w:val="20"/>
        </w:rPr>
        <w:t xml:space="preserve">BUSINESS &amp; ENTERPRISE ARCHITECTUUR</w:t>
      </w:r>
    </w:p>
    <w:p>
      <w:pPr>
        <w:spacing w:after="40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Niveau 2 — Deel 17</w:t>
      </w:r>
    </w:p>
    <w:p>
      <w:pPr>
        <w:spacing w:after="300"/>
      </w:pPr>
      <w:r>
        <w:rPr>
          <w:rFonts w:ascii="Calibri" w:cs="Calibri" w:eastAsia="Calibri" w:hAnsi="Calibri"/>
          <w:b/>
          <w:bCs/>
          <w:color w:val="14213D"/>
          <w:sz w:val="32"/>
          <w:szCs w:val="32"/>
        </w:rPr>
        <w:t xml:space="preserve">Docentenhandleiding — Gap-analyse, roadmapping en migratieplanning</w:t>
      </w:r>
    </w:p>
    <w:tbl>
      <w:tblPr>
        <w:tblW w:type="pct" w:w="100%"/>
        <w:tblBorders>
          <w:top w:val="single" w:color="E9A13B" w:sz="4"/>
          <w:left w:val="single" w:color="E9A13B" w:sz="24"/>
          <w:bottom w:val="single" w:color="E9A13B" w:sz="4"/>
          <w:right w:val="single" w:color="E9A13B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1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 w:line="29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color w:val="14213D"/>
                <w:sz w:val="20"/>
                <w:szCs w:val="20"/>
              </w:rPr>
              <w:t xml:space="preserve">Duur: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één dagdeel (4 uur incl. pauze)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   ·  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color w:val="14213D"/>
                <w:sz w:val="20"/>
                <w:szCs w:val="20"/>
              </w:rPr>
              <w:t xml:space="preserve">Groepsgrootte: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8-16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   ·  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color w:val="14213D"/>
                <w:sz w:val="20"/>
                <w:szCs w:val="20"/>
              </w:rPr>
              <w:t xml:space="preserve">Voorkennis: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niveau 1 deel 9, niveau 2 deel 11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   ·  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color w:val="14213D"/>
                <w:sz w:val="20"/>
                <w:szCs w:val="20"/>
              </w:rPr>
              <w:t xml:space="preserve">Materiaal: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reader/werkboek/slidedeck deel 17, flip-overs voor matrices en roadmap-tijdlijnen</w:t>
            </w:r>
          </w:p>
        </w:tc>
      </w:tr>
    </w:tbl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Plaats van dit deel in het niveau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Dit deel formaliseert fase E-F op portfolioniveau: waar niveau 1 (deel 9) de basisbegrippen gaf, geeft dit deel de matrix- en roadmaptechniek die het examen op Practitioner-niveau verwacht. Het is rekenkundiger van aard dan de meeste andere delen (schattingen, doorlooptijden) — behoud toch de architectuurredenering als hoofdzaak: de matrix en de roadmap zijn gereedschap voor besluitvorming, geen doel op zich.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Dagdeelplanning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dxa" w:w="3000"/>
            <w:shd w:fill="14213D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Tijd</w:t>
            </w:r>
          </w:p>
        </w:tc>
        <w:tc>
          <w:tcPr>
            <w:tcW w:type="dxa" w:w="3000"/>
            <w:shd w:fill="14213D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Onderdeel</w:t>
            </w:r>
          </w:p>
        </w:tc>
        <w:tc>
          <w:tcPr>
            <w:tcW w:type="dxa" w:w="3000"/>
            <w:shd w:fill="14213D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Werkvorm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0:00–0:10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Opdracht 0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tweetallen</w:t>
            </w:r>
          </w:p>
        </w:tc>
      </w:tr>
      <w:tr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0:10–0:20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Casus: vier domeinen, één roadmap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plenair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0:20–0:45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Theorie: de gap-analysematrix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plenair</w:t>
            </w:r>
          </w:p>
        </w:tc>
      </w:tr>
      <w:tr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0:45–1:20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Opdracht 1 — matrix per domein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viertallen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1:20–1:35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Pauze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1:35–1:55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Theorie: roadmap en leercurve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plenair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1:55–2:30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Opdracht 2 — de roadmap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viertallen</w:t>
            </w:r>
          </w:p>
        </w:tc>
      </w:tr>
      <w:tr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2:30–2:45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Theorie: het uitloopscenario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plenair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2:45–3:10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Opdracht 3 — het uitloopscenario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drietallen</w:t>
            </w:r>
          </w:p>
        </w:tc>
      </w:tr>
      <w:tr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3:10–3:50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Verwerkingstijd huiswerk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individueel, begeleid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3:50–4:00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Samenvatting + vooruitblik deel 18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plenair</w:t>
            </w:r>
          </w:p>
        </w:tc>
      </w:tr>
    </w:tbl>
    <w:p>
      <w:pPr>
        <w:spacing w:before="200"/>
      </w:pPr>
    </w:p>
    <w:p>
      <w:r>
        <w:br w:type="page"/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Didactische aanwijzingen per onderdeel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Opdracht 1.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Verdeel de vier domeinen bewust over de viertallen zodat aan het eind alle vier gedekt zijn — bij de nabespreking kan dan de volledige vergelijking gemaakt worden.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Opdracht 1c.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Dit is de kernvraag: laat de groep expliciet benoemen dat de matrix omvang toont, geen afhankelijkheid of capaciteit — dat onderscheid draagt opdracht 2.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Opdracht 2c.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Bewaak dat "hard" en "zacht" concreet beargumenteerd worden, niet intuïtief geraden — vraag door: "wat zou er misgaan als u deze afhankelijkheid negeert?"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Opdracht 3b.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Het luie-antwoord-argument moet uit de groep komen; het is de meest voorkomende reflex bij tegenvallende planning ("alles een blok schuiven") en de nabespreking moet laten zien waarom die reflex kansen laat liggen.</w:t>
      </w:r>
    </w:p>
    <w:p>
      <w:r>
        <w:br w:type="page"/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Veelgestelde vragen en gevoeligheden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"Hoe nauwkeurig moeten de weekschattingen zijn?"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Niet nauwkeuriger dan de matrix rechtvaardigt: dit is portfolioplanning, geen sprintplanning. Orde-van-grootte-schattingen (acht versus vijftien weken) zijn het doel, geen exacte dagtelling.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Voorbereiding volgende bijeenkomst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Roadmaps vooraf laten inleveren. Deel 18 (architectuurpatronen) geeft herbruikbare oplossingsvormen die de bouw van de resterende vier domeinen kunnen versnellen — een directe vervolgstap op de roadmap van vandaag.</w:t>
      </w:r>
    </w:p>
    <w:sectPr>
      <w:headerReference w:type="default" r:id="rId7"/>
      <w:footerReference w:type="default" r:id="rId8"/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7280"/>
        <w:sz w:val="15"/>
        <w:szCs w:val="15"/>
      </w:rPr>
      <w:t xml:space="preserve">Business &amp; Enterprise Architectuur — </w:t>
    </w:r>
    <w:r>
      <w:rPr>
        <w:rFonts w:ascii="Calibri" w:cs="Calibri" w:eastAsia="Calibri" w:hAnsi="Calibri"/>
        <w:color w:val="6B7280"/>
        <w:sz w:val="15"/>
        <w:szCs w:val="15"/>
      </w:rPr>
      <w:t xml:space="preserve">pagina </w:t>
    </w:r>
    <w:r>
      <w:rPr>
        <w:rFonts w:ascii="Calibri" w:cs="Calibri" w:eastAsia="Calibri" w:hAnsi="Calibri"/>
        <w:color w:val="6B7280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6B7280"/>
        <w:sz w:val="16"/>
        <w:szCs w:val="16"/>
      </w:rPr>
      <w:t xml:space="preserve">Deel 17 · Docentenhandleiding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2026-08-17T11:48:06.919Z</dcterms:created>
  <dcterms:modified xsi:type="dcterms:W3CDTF">2026-08-17T11:48:06.921Z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