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2 — Deel 17</w:t>
      </w:r>
    </w:p>
    <w:p>
      <w:pPr>
        <w:spacing w:after="300"/>
      </w:pPr>
      <w:r>
        <w:rPr>
          <w:rFonts w:ascii="Calibri" w:cs="Calibri" w:eastAsia="Calibri" w:hAnsi="Calibri"/>
          <w:b/>
          <w:bCs/>
          <w:color w:val="14213D"/>
          <w:sz w:val="34"/>
          <w:szCs w:val="34"/>
        </w:rPr>
        <w:t xml:space="preserve">Werkboek — Gap-analyse, roadmapping en migratieplanning</w:t>
      </w:r>
    </w:p>
    <w:p>
      <w:pPr>
        <w:spacing w:after="160" w:line="300"/>
        <w:jc w:val="left"/>
      </w:pPr>
      <w:r>
        <w:rPr>
          <w:rFonts w:ascii="Calibri" w:cs="Calibri" w:eastAsia="Calibri" w:hAnsi="Calibri"/>
          <w:b w:val="false"/>
          <w:bCs w:val="false"/>
          <w:i w:val="false"/>
          <w:iCs w:val="false"/>
          <w:color w:val="1A1A1A"/>
          <w:sz w:val="21"/>
          <w:szCs w:val="21"/>
        </w:rPr>
        <w:t xml:space="preserve">Elke opdracht sluit af met een verantwoordingsvraag. Benodigd: reader deel 17, uw programmadossier, deel 11 bijlage A.</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0 — Peer feedback datamodel + integratie (10 min, tweetallen)</w:t>
      </w:r>
    </w:p>
    <w:p>
      <w:pPr>
        <w:spacing w:after="160" w:line="300"/>
        <w:jc w:val="left"/>
      </w:pPr>
      <w:r>
        <w:rPr>
          <w:rFonts w:ascii="Calibri" w:cs="Calibri" w:eastAsia="Calibri" w:hAnsi="Calibri"/>
          <w:b w:val="false"/>
          <w:bCs w:val="false"/>
          <w:i w:val="false"/>
          <w:iCs w:val="false"/>
          <w:color w:val="1A1A1A"/>
          <w:sz w:val="21"/>
          <w:szCs w:val="21"/>
        </w:rPr>
        <w:t xml:space="preserve">Wissel uit. Schriftelijk: </w:t>
      </w:r>
      <w:r>
        <w:rPr>
          <w:rFonts w:ascii="Calibri" w:cs="Calibri" w:eastAsia="Calibri" w:hAnsi="Calibri"/>
          <w:b/>
          <w:bCs/>
          <w:i w:val="false"/>
          <w:iCs w:val="false"/>
          <w:color w:val="1A1A1A"/>
          <w:sz w:val="21"/>
          <w:szCs w:val="21"/>
        </w:rPr>
        <w:t xml:space="preserve">"Is de orkestratiekeuze beargumenteerd tegen choreografie, of alleen beschreven?"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Gap-analysematrix per domein (35 min, viertallen)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Bouw de gap-analysematrix voor twee resterende domeinen (kies twee van: Adreswijzigingen, Begunstigden, Betalingsmutaties, Waardeoverdrachten) met minimaal vijf elementen per domein, gecategoriseerd eliminated/unchanged/changed/new.</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Vergelijk de twee matrices: welk domein is zwaarder, en waarom?</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een collega stelt voor alle vier domeinen tegelijk te plannen "want de matrices zijn toch al gemaakt". Wat mist dat argument?</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De roadmap (35 min, viertallen)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Schat op basis van uw matrices (opdracht 1) en de pilot-referentie (twintig weken) de doorlooptijd voor uw twee domeinen.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Teken de roadmap: volgorde, afhankelijkheden, eventuele parallelliteit — met expliciete pijlen voor harde afhankelijkheden.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welke afhankelijkheid in uw roadmap is hard, en welke zou u bij capaciteitsdruk kunnen versoepelen?</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Het uitloopscenario (25 min, drietallen)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Stel dat de pilot (Dienstverbandmutaties) twee maanden uitloopt. Pas uw roadmap (opdracht 2) aan: wat schuift automatisch mee, wat niet?</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waarom is "de hele roadmap schuift twee maanden" het luie, foute antwoord?</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Huiswerk: roadmap als programmadossier-hoofdstuk (schriftelijk, inleveren vóór deel 18)</w:t>
      </w:r>
    </w:p>
    <w:p>
      <w:pPr>
        <w:spacing w:after="160" w:line="300"/>
        <w:jc w:val="left"/>
      </w:pPr>
      <w:r>
        <w:rPr>
          <w:rFonts w:ascii="Calibri" w:cs="Calibri" w:eastAsia="Calibri" w:hAnsi="Calibri"/>
          <w:b w:val="false"/>
          <w:bCs w:val="false"/>
          <w:i w:val="false"/>
          <w:iCs w:val="false"/>
          <w:color w:val="1A1A1A"/>
          <w:sz w:val="21"/>
          <w:szCs w:val="21"/>
        </w:rPr>
        <w:t xml:space="preserve">Voeg toe: de gap-analysematrices, de roadmap met afhankelijkheden, en het uitloopscenario (max. twee A4). Deel 18 opent met peer feedback.</w:t>
      </w:r>
    </w:p>
    <w:p>
      <w:pPr>
        <w:spacing w:after="160" w:line="300"/>
        <w:jc w:val="left"/>
      </w:pPr>
      <w:r>
        <w:rPr>
          <w:rFonts w:ascii="Calibri" w:cs="Calibri" w:eastAsia="Calibri" w:hAnsi="Calibri"/>
          <w:b w:val="false"/>
          <w:bCs w:val="false"/>
          <w:i w:val="false"/>
          <w:iCs w:val="false"/>
          <w:color w:val="1A1A1A"/>
          <w:sz w:val="21"/>
          <w:szCs w:val="21"/>
        </w:rPr>
        <w:t xml:space="preserve">## Modeluitwerkingen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1</w:t>
      </w:r>
    </w:p>
    <w:p>
      <w:pPr>
        <w:spacing w:after="160" w:line="300"/>
        <w:jc w:val="left"/>
      </w:pPr>
      <w:r>
        <w:rPr>
          <w:rFonts w:ascii="Calibri" w:cs="Calibri" w:eastAsia="Calibri" w:hAnsi="Calibri"/>
          <w:b w:val="false"/>
          <w:bCs w:val="false"/>
          <w:i w:val="false"/>
          <w:iCs w:val="false"/>
          <w:color w:val="1A1A1A"/>
          <w:sz w:val="21"/>
          <w:szCs w:val="21"/>
        </w:rPr>
        <w:t xml:space="preserve">a-b. Modelvoorbeeld Adreswijzigingen: CRM (unchanged), adresvalidatieregel (changed — nu via generieke autorisatie), koppeling generieke laag (new), oude standalone adreswijzigingsformulier (eliminated). Begunstigden: CRM-contactgegevens (unchanged), autorisatiematrix (new — bestond niet), tweeogen-proces (new), oud ad-hoc-Excel-proces (eliminated), koppeling generieke laag (new). Begunstigden is zwaarder: meer "new"-elementen, minder hergebruik van bestaande structuur.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De matrices tonen de </w:t>
      </w:r>
      <w:r>
        <w:rPr>
          <w:rFonts w:ascii="Calibri" w:cs="Calibri" w:eastAsia="Calibri" w:hAnsi="Calibri"/>
          <w:b w:val="false"/>
          <w:bCs w:val="false"/>
          <w:i/>
          <w:iCs/>
          <w:color w:val="1A1A1A"/>
          <w:sz w:val="21"/>
          <w:szCs w:val="21"/>
        </w:rPr>
        <w:t xml:space="preserve">omvang</w:t>
      </w:r>
      <w:r>
        <w:rPr>
          <w:rFonts w:ascii="Calibri" w:cs="Calibri" w:eastAsia="Calibri" w:hAnsi="Calibri"/>
          <w:b w:val="false"/>
          <w:bCs w:val="false"/>
          <w:i w:val="false"/>
          <w:iCs w:val="false"/>
          <w:color w:val="1A1A1A"/>
          <w:sz w:val="21"/>
          <w:szCs w:val="21"/>
        </w:rPr>
        <w:t xml:space="preserve"> van verandering per domein, niet de </w:t>
      </w:r>
      <w:r>
        <w:rPr>
          <w:rFonts w:ascii="Calibri" w:cs="Calibri" w:eastAsia="Calibri" w:hAnsi="Calibri"/>
          <w:b w:val="false"/>
          <w:bCs w:val="false"/>
          <w:i/>
          <w:iCs/>
          <w:color w:val="1A1A1A"/>
          <w:sz w:val="21"/>
          <w:szCs w:val="21"/>
        </w:rPr>
        <w:t xml:space="preserve">capaciteit</w:t>
      </w:r>
      <w:r>
        <w:rPr>
          <w:rFonts w:ascii="Calibri" w:cs="Calibri" w:eastAsia="Calibri" w:hAnsi="Calibri"/>
          <w:b w:val="false"/>
          <w:bCs w:val="false"/>
          <w:i w:val="false"/>
          <w:iCs w:val="false"/>
          <w:color w:val="1A1A1A"/>
          <w:sz w:val="21"/>
          <w:szCs w:val="21"/>
        </w:rPr>
        <w:t xml:space="preserve"> om ze gelijktijdig te bouwen, niet de </w:t>
      </w:r>
      <w:r>
        <w:rPr>
          <w:rFonts w:ascii="Calibri" w:cs="Calibri" w:eastAsia="Calibri" w:hAnsi="Calibri"/>
          <w:b w:val="false"/>
          <w:bCs w:val="false"/>
          <w:i/>
          <w:iCs/>
          <w:color w:val="1A1A1A"/>
          <w:sz w:val="21"/>
          <w:szCs w:val="21"/>
        </w:rPr>
        <w:t xml:space="preserve">afhankelijkheden</w:t>
      </w:r>
      <w:r>
        <w:rPr>
          <w:rFonts w:ascii="Calibri" w:cs="Calibri" w:eastAsia="Calibri" w:hAnsi="Calibri"/>
          <w:b w:val="false"/>
          <w:bCs w:val="false"/>
          <w:i w:val="false"/>
          <w:iCs w:val="false"/>
          <w:color w:val="1A1A1A"/>
          <w:sz w:val="21"/>
          <w:szCs w:val="21"/>
        </w:rPr>
        <w:t xml:space="preserve"> tussen domeinen (bijvoorbeeld gedeelde generieke velden), en niet het risico van gelijktijdig meerdere teams die tegen de nog relatief nieuwe generieke laag aan bouwen zonder dat de samenhangtoets (deel 11) is opgeschaald naar vier tegelijk in plaats van één.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Modelschatting: Adreswijzigingen circa acht weken (grotendeels unchanged/changed), Begunstigden circa vijftien weken (veel new, nieuw proces vanaf de grond).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Adreswijzigingen kan grotendeels parallel aan de afronding van de pilot starten (weinig afhankelijkheid); Begunstigden wacht op de bewezen generieke autorisatieparametrisering (harde afhankelijkheid, deel 11 §4.2).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Hard: de generieke autorisatieservice moet werken vóór Begunstigden kan bouwen. Zacht: de exacte teamvolgorde tussen Adreswijzigingen en Betalingsmutaties (beide relatief licht) kan wisselen bij capaciteitsdruk zonder architectonisch risico.</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Adreswijzigingen (zwakke afhankelijkheid van de pilot) kan grotendeels doorgaan zoals gepland; Begunstigden (harde afhankelijkheid van bewezen generieke autorisatie) schuift wél mee met de uitloop van de pilot.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"Alles schuift twee maanden" behandelt alle afhankelijkheden als hard, terwijl de roadmap juist het onderscheid hard/zacht moest maken (reader §5) — het luie antwoord verspilt precies de analyse die opdracht 2 al leverde en negeert dat sommige domeinen weinig van de pilot afhankelijk zijn.</w:t>
      </w:r>
    </w:p>
    <w:p>
      <w:pPr>
        <w:spacing w:after="160" w:line="300"/>
        <w:jc w:val="left"/>
      </w:pPr>
      <w:r>
        <w:rPr>
          <w:rFonts w:ascii="Calibri" w:cs="Calibri" w:eastAsia="Calibri" w:hAnsi="Calibri"/>
          <w:b w:val="false"/>
          <w:bCs w:val="false"/>
          <w:i w:val="false"/>
          <w:iCs w:val="false"/>
          <w:color w:val="1A1A1A"/>
          <w:sz w:val="21"/>
          <w:szCs w:val="21"/>
        </w:rPr>
        <w:t xml:space="preserve">## Beoordelingskader opdracht 4 (peer feedback in deel 18)</w:t>
      </w:r>
    </w:p>
    <w:p>
      <w:pPr>
        <w:spacing w:after="160" w:line="300"/>
        <w:jc w:val="left"/>
      </w:pPr>
      <w:r>
        <w:rPr>
          <w:rFonts w:ascii="Calibri" w:cs="Calibri" w:eastAsia="Calibri" w:hAnsi="Calibri"/>
          <w:b w:val="false"/>
          <w:bCs w:val="false"/>
          <w:i w:val="false"/>
          <w:iCs w:val="false"/>
          <w:color w:val="1A1A1A"/>
          <w:sz w:val="21"/>
          <w:szCs w:val="21"/>
        </w:rPr>
        <w:t xml:space="preserve">Sterk: de matrices tonen concrete elementen (geen abstracte categorieën zonder inhoud); het uitloopscenario onderscheidt expliciet hard/zacht. Zwak: een roadmap zonder afhankelijkheidspijlen, feitelijk een simpele tijdlijn.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17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2026-08-17T11:48:05.629Z</dcterms:created>
  <dcterms:modified xsi:type="dcterms:W3CDTF">2026-08-17T11:48:05.630Z</dcterms:modified>
</cp:coreProperties>
</file>

<file path=docProps/custom.xml><?xml version="1.0" encoding="utf-8"?>
<Properties xmlns="http://schemas.openxmlformats.org/officeDocument/2006/custom-properties" xmlns:vt="http://schemas.openxmlformats.org/officeDocument/2006/docPropsVTypes"/>
</file>