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18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Architectuurpatronen en referentiearchitecturen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11-17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18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is een terugblik-en-formalisatie: niets nieuws inhoudelijk, wel een nieuwe, waardevolle vorm voor wat al is geleerd. Behandel het als een "opruim- en oogst"-dagdeel — minder spanningsboog dan andere delen, meer het gevoel van "dit hebben we verdiend en leggen we nu vast voor de volgende keer".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"moeten wij dit opnieuw uitvinden?"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patroon versus referentiearchitectuur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0:40–1:00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classificeren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1:00–1:15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1:15–1:45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vier patronen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1:45–2:15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patroonbibliotheek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2:15–2:45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referentiearchitectuur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de checklist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3:15–3:50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19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de vier patronen.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het moment om de hele cursus terug te lezen als patroonverzameling — laat de groep de precedenten zelf herkennen ("waar zagen we dit voor het eerst?") in plaats van ze voor te zeggen. Het is een bevredigend herkenningsmoment na zeven delen.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context-clausule is de belangrijkste les van het dagdeel — bewaak dat elk patroon in opdracht 2a er daadwerkelijk een heeft, niet als invuloefening maar als serieuze afweging.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Laat de parallel met standaarden (niveau 1, deel 7) uit de groep komen — "hoe hielden we daar een levend kader bij?"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dit niet gewoon documentatie schrijven?"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onderscheid: documentatie beschrijft wat is; een patroonbibliotheek abstraheert naar wat herbruikbaar is, met expliciete context-grenzen. Dat abstractievermogen is de architectonische vaardigheid.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vooraf laten inleveren. Deel 19 (twee dagdelen) is het langst aangekondigde deel van de cursus — de poortwachter-vraag uit niveau 1, deel 1 krijgt er zijn antwoord. Kondig dat gerust groots aan.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18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2026-08-17T11:48:12.425Z</dcterms:created>
  <dcterms:modified xsi:type="dcterms:W3CDTF">2026-08-17T11:48:12.427Z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