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rFonts w:ascii="Calibri" w:cs="Calibri" w:eastAsia="Calibri" w:hAnsi="Calibri"/>
          <w:b/>
          <w:bCs/>
          <w:color w:val="2563A8"/>
          <w:sz w:val="20"/>
          <w:szCs w:val="20"/>
        </w:rPr>
        <w:t xml:space="preserve">BUSINESS &amp; ENTERPRISE ARCHITECTUUR</w:t>
      </w:r>
    </w:p>
    <w:p>
      <w:pPr>
        <w:spacing w:after="40"/>
      </w:pPr>
      <w:r>
        <w:rPr>
          <w:rFonts w:ascii="Calibri" w:cs="Calibri" w:eastAsia="Calibri" w:hAnsi="Calibri"/>
          <w:color w:val="6B7280"/>
          <w:sz w:val="22"/>
          <w:szCs w:val="22"/>
        </w:rPr>
        <w:t xml:space="preserve">Niveau 2 — Deel 19</w:t>
      </w:r>
    </w:p>
    <w:p>
      <w:pPr>
        <w:spacing w:after="300"/>
      </w:pPr>
      <w:r>
        <w:rPr>
          <w:rFonts w:ascii="Calibri" w:cs="Calibri" w:eastAsia="Calibri" w:hAnsi="Calibri"/>
          <w:b/>
          <w:bCs/>
          <w:color w:val="14213D"/>
          <w:sz w:val="32"/>
          <w:szCs w:val="32"/>
        </w:rPr>
        <w:t xml:space="preserve">Docentenhandleiding — Architectuur in agile realisatie (twee dagdelen)</w:t>
      </w:r>
    </w:p>
    <w:tbl>
      <w:tblPr>
        <w:tblW w:type="pct" w:w="100%"/>
        <w:tblBorders>
          <w:top w:val="single" w:color="E9A13B" w:sz="4"/>
          <w:left w:val="single" w:color="E9A13B" w:sz="24"/>
          <w:bottom w:val="single" w:color="E9A13B" w:sz="4"/>
          <w:right w:val="single" w:color="E9A13B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1F6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80" w:line="290"/>
            </w:pPr>
            <w:r>
              <w:rPr>
                <w:rFonts w:ascii="Calibri" w:cs="Calibri" w:eastAsia="Calibri" w:hAnsi="Calibri"/>
                <w:b/>
                <w:bCs/>
                <w:i/>
                <w:iCs/>
                <w:color w:val="14213D"/>
                <w:sz w:val="20"/>
                <w:szCs w:val="20"/>
              </w:rPr>
              <w:t xml:space="preserve">Duur: </w:t>
            </w: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14213D"/>
                <w:sz w:val="20"/>
                <w:szCs w:val="20"/>
              </w:rPr>
              <w:t xml:space="preserve">twee dagdelen (elk 4 uur incl. pauze)</w:t>
            </w: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14213D"/>
                <w:sz w:val="20"/>
                <w:szCs w:val="20"/>
              </w:rPr>
              <w:t xml:space="preserve">   ·   </w:t>
            </w:r>
            <w:r>
              <w:rPr>
                <w:rFonts w:ascii="Calibri" w:cs="Calibri" w:eastAsia="Calibri" w:hAnsi="Calibri"/>
                <w:b/>
                <w:bCs/>
                <w:i/>
                <w:iCs/>
                <w:color w:val="14213D"/>
                <w:sz w:val="20"/>
                <w:szCs w:val="20"/>
              </w:rPr>
              <w:t xml:space="preserve">Groepsgrootte: </w:t>
            </w: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14213D"/>
                <w:sz w:val="20"/>
                <w:szCs w:val="20"/>
              </w:rPr>
              <w:t xml:space="preserve">8-16</w:t>
            </w: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14213D"/>
                <w:sz w:val="20"/>
                <w:szCs w:val="20"/>
              </w:rPr>
              <w:t xml:space="preserve">   ·   </w:t>
            </w:r>
            <w:r>
              <w:rPr>
                <w:rFonts w:ascii="Calibri" w:cs="Calibri" w:eastAsia="Calibri" w:hAnsi="Calibri"/>
                <w:b/>
                <w:bCs/>
                <w:i/>
                <w:iCs/>
                <w:color w:val="14213D"/>
                <w:sz w:val="20"/>
                <w:szCs w:val="20"/>
              </w:rPr>
              <w:t xml:space="preserve">Voorkennis: </w:t>
            </w: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14213D"/>
                <w:sz w:val="20"/>
                <w:szCs w:val="20"/>
              </w:rPr>
              <w:t xml:space="preserve">niveau 1 deel 1 (§5.2), deel 9; niveau 2 deel 11, 15</w:t>
            </w: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14213D"/>
                <w:sz w:val="20"/>
                <w:szCs w:val="20"/>
              </w:rPr>
              <w:t xml:space="preserve">   ·   </w:t>
            </w:r>
            <w:r>
              <w:rPr>
                <w:rFonts w:ascii="Calibri" w:cs="Calibri" w:eastAsia="Calibri" w:hAnsi="Calibri"/>
                <w:b/>
                <w:bCs/>
                <w:i/>
                <w:iCs/>
                <w:color w:val="14213D"/>
                <w:sz w:val="20"/>
                <w:szCs w:val="20"/>
              </w:rPr>
              <w:t xml:space="preserve">Materiaal: </w:t>
            </w: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14213D"/>
                <w:sz w:val="20"/>
                <w:szCs w:val="20"/>
              </w:rPr>
              <w:t xml:space="preserve">reader/werkboek/slidedeck deel 19, rolkaart "scrum master" (dagdeel A, opdracht 2b)</w:t>
            </w:r>
          </w:p>
        </w:tc>
      </w:tr>
    </w:tbl>
    <w:p>
      <w:pPr>
        <w:pStyle w:val="Heading2"/>
        <w:pBdr>
          <w:bottom w:val="single" w:color="2563A8" w:sz="6" w:space="4"/>
        </w:pBdr>
        <w:spacing w:after="160" w:before="300"/>
      </w:pPr>
      <w:r>
        <w:rPr>
          <w:rFonts w:ascii="Calibri" w:cs="Calibri" w:eastAsia="Calibri" w:hAnsi="Calibri"/>
          <w:b/>
          <w:bCs/>
          <w:color w:val="2563A8"/>
          <w:sz w:val="24"/>
          <w:szCs w:val="24"/>
        </w:rPr>
        <w:t xml:space="preserve">Plaats van dit deel in het niveau</w:t>
      </w:r>
    </w:p>
    <w:p>
      <w:pPr>
        <w:spacing w:after="160" w:line="30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Dit is het langst aangekondigde deel van de hele cursus — sinds niveau 1, deel 1 is er drie keer expliciet naar verwezen. Speel dat bij de opening bewust uit: "dit is het deel waar we sinds dag één naartoe hebben gewerkt." De kernstelling (kaders versus ontwerp) is conceptueel niet moeilijk, maar emotioneel geladen — veel deelnemers hebben zelf spanning tussen architectuur en agile teams ervaren. Geef daar ruimte aan zonder het dagdeel te laten verzanden in klaagsessies.</w:t>
      </w:r>
    </w:p>
    <w:p>
      <w:pPr>
        <w:pStyle w:val="Heading2"/>
        <w:pBdr>
          <w:bottom w:val="single" w:color="2563A8" w:sz="6" w:space="4"/>
        </w:pBdr>
        <w:spacing w:after="160" w:before="300"/>
      </w:pPr>
      <w:r>
        <w:rPr>
          <w:rFonts w:ascii="Calibri" w:cs="Calibri" w:eastAsia="Calibri" w:hAnsi="Calibri"/>
          <w:b/>
          <w:bCs/>
          <w:color w:val="2563A8"/>
          <w:sz w:val="24"/>
          <w:szCs w:val="24"/>
        </w:rPr>
        <w:t xml:space="preserve">Dagdeelplanning A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000"/>
        <w:gridCol w:w="3000"/>
      </w:tblGrid>
      <w:tr>
        <w:tc>
          <w:tcPr>
            <w:tcW w:type="dxa" w:w="3000"/>
            <w:shd w:fill="14213D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Tijd</w:t>
            </w:r>
          </w:p>
        </w:tc>
        <w:tc>
          <w:tcPr>
            <w:tcW w:type="dxa" w:w="3000"/>
            <w:shd w:fill="14213D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Onderdeel</w:t>
            </w:r>
          </w:p>
        </w:tc>
        <w:tc>
          <w:tcPr>
            <w:tcW w:type="dxa" w:w="3000"/>
            <w:shd w:fill="14213D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Werkvorm</w:t>
            </w:r>
          </w:p>
        </w:tc>
      </w:tr>
      <w:tr>
        <w:tc>
          <w:tcPr>
            <w:tcW w:type="dxa" w:w="30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0:00–0:15</w:t>
            </w:r>
          </w:p>
        </w:tc>
        <w:tc>
          <w:tcPr>
            <w:tcW w:type="dxa" w:w="30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Opening: "het langst aangekondigde deel" + opdracht 0</w:t>
            </w:r>
          </w:p>
        </w:tc>
        <w:tc>
          <w:tcPr>
            <w:tcW w:type="dxa" w:w="30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plenair + tweetallen</w:t>
            </w:r>
          </w:p>
        </w:tc>
      </w:tr>
      <w:tr>
        <w:tc>
          <w:tcPr>
            <w:tcW w:type="dxa" w:w="3000"/>
            <w:shd w:fill="EEF1F6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0:15–0:30</w:t>
            </w:r>
          </w:p>
        </w:tc>
        <w:tc>
          <w:tcPr>
            <w:tcW w:type="dxa" w:w="3000"/>
            <w:shd w:fill="EEF1F6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Casus: het conflict met de scrum master</w:t>
            </w:r>
          </w:p>
        </w:tc>
        <w:tc>
          <w:tcPr>
            <w:tcW w:type="dxa" w:w="3000"/>
            <w:shd w:fill="EEF1F6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plenair</w:t>
            </w:r>
          </w:p>
        </w:tc>
      </w:tr>
      <w:tr>
        <w:tc>
          <w:tcPr>
            <w:tcW w:type="dxa" w:w="30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0:30–1:00</w:t>
            </w:r>
          </w:p>
        </w:tc>
        <w:tc>
          <w:tcPr>
            <w:tcW w:type="dxa" w:w="30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Theorie: het misverstand ontleed</w:t>
            </w:r>
          </w:p>
        </w:tc>
        <w:tc>
          <w:tcPr>
            <w:tcW w:type="dxa" w:w="30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plenair</w:t>
            </w:r>
          </w:p>
        </w:tc>
      </w:tr>
      <w:tr>
        <w:tc>
          <w:tcPr>
            <w:tcW w:type="dxa" w:w="3000"/>
            <w:shd w:fill="EEF1F6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1:00–1:25</w:t>
            </w:r>
          </w:p>
        </w:tc>
        <w:tc>
          <w:tcPr>
            <w:tcW w:type="dxa" w:w="3000"/>
            <w:shd w:fill="EEF1F6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Opdracht 1 — kaders of ontwerp?</w:t>
            </w:r>
          </w:p>
        </w:tc>
        <w:tc>
          <w:tcPr>
            <w:tcW w:type="dxa" w:w="3000"/>
            <w:shd w:fill="EEF1F6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individueel → plenair</w:t>
            </w:r>
          </w:p>
        </w:tc>
      </w:tr>
      <w:tr>
        <w:tc>
          <w:tcPr>
            <w:tcW w:type="dxa" w:w="30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1:25–1:40</w:t>
            </w:r>
          </w:p>
        </w:tc>
        <w:tc>
          <w:tcPr>
            <w:tcW w:type="dxa" w:w="30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Pauze</w:t>
            </w:r>
          </w:p>
        </w:tc>
        <w:tc>
          <w:tcPr>
            <w:tcW w:type="dxa" w:w="30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3000"/>
            <w:shd w:fill="EEF1F6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1:40–2:10</w:t>
            </w:r>
          </w:p>
        </w:tc>
        <w:tc>
          <w:tcPr>
            <w:tcW w:type="dxa" w:w="3000"/>
            <w:shd w:fill="EEF1F6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Opdracht 2 — het conflict + rollenspel</w:t>
            </w:r>
          </w:p>
        </w:tc>
        <w:tc>
          <w:tcPr>
            <w:tcW w:type="dxa" w:w="3000"/>
            <w:shd w:fill="EEF1F6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drietallen</w:t>
            </w:r>
          </w:p>
        </w:tc>
      </w:tr>
      <w:tr>
        <w:tc>
          <w:tcPr>
            <w:tcW w:type="dxa" w:w="30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2:10–2:35</w:t>
            </w:r>
          </w:p>
        </w:tc>
        <w:tc>
          <w:tcPr>
            <w:tcW w:type="dxa" w:w="30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Opdracht 3 — de architect in het team</w:t>
            </w:r>
          </w:p>
        </w:tc>
        <w:tc>
          <w:tcPr>
            <w:tcW w:type="dxa" w:w="30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tweetallen</w:t>
            </w:r>
          </w:p>
        </w:tc>
      </w:tr>
      <w:tr>
        <w:tc>
          <w:tcPr>
            <w:tcW w:type="dxa" w:w="3000"/>
            <w:shd w:fill="EEF1F6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2:35–4:00</w:t>
            </w:r>
          </w:p>
        </w:tc>
        <w:tc>
          <w:tcPr>
            <w:tcW w:type="dxa" w:w="3000"/>
            <w:shd w:fill="EEF1F6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Theorie "net genoeg architectuur, net op tijd" + discussie + afsluiting dagdeel A</w:t>
            </w:r>
          </w:p>
        </w:tc>
        <w:tc>
          <w:tcPr>
            <w:tcW w:type="dxa" w:w="3000"/>
            <w:shd w:fill="EEF1F6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plenair</w:t>
            </w:r>
          </w:p>
        </w:tc>
      </w:tr>
    </w:tbl>
    <w:p>
      <w:pPr>
        <w:spacing w:before="200"/>
      </w:pPr>
    </w:p>
    <w:p>
      <w:pPr>
        <w:pStyle w:val="Heading2"/>
        <w:pBdr>
          <w:bottom w:val="single" w:color="2563A8" w:sz="6" w:space="4"/>
        </w:pBdr>
        <w:spacing w:after="160" w:before="300"/>
      </w:pPr>
      <w:r>
        <w:rPr>
          <w:rFonts w:ascii="Calibri" w:cs="Calibri" w:eastAsia="Calibri" w:hAnsi="Calibri"/>
          <w:b/>
          <w:bCs/>
          <w:color w:val="2563A8"/>
          <w:sz w:val="24"/>
          <w:szCs w:val="24"/>
        </w:rPr>
        <w:t xml:space="preserve">Dagdeelplanning B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000"/>
        <w:gridCol w:w="3000"/>
      </w:tblGrid>
      <w:tr>
        <w:tc>
          <w:tcPr>
            <w:tcW w:type="dxa" w:w="3000"/>
            <w:shd w:fill="14213D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Tijd</w:t>
            </w:r>
          </w:p>
        </w:tc>
        <w:tc>
          <w:tcPr>
            <w:tcW w:type="dxa" w:w="3000"/>
            <w:shd w:fill="14213D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Onderdeel</w:t>
            </w:r>
          </w:p>
        </w:tc>
        <w:tc>
          <w:tcPr>
            <w:tcW w:type="dxa" w:w="3000"/>
            <w:shd w:fill="14213D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Werkvorm</w:t>
            </w:r>
          </w:p>
        </w:tc>
      </w:tr>
      <w:tr>
        <w:tc>
          <w:tcPr>
            <w:tcW w:type="dxa" w:w="30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0:00–0:15</w:t>
            </w:r>
          </w:p>
        </w:tc>
        <w:tc>
          <w:tcPr>
            <w:tcW w:type="dxa" w:w="30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Terugblik dagdeel A</w:t>
            </w:r>
          </w:p>
        </w:tc>
        <w:tc>
          <w:tcPr>
            <w:tcW w:type="dxa" w:w="30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plenair</w:t>
            </w:r>
          </w:p>
        </w:tc>
      </w:tr>
      <w:tr>
        <w:tc>
          <w:tcPr>
            <w:tcW w:type="dxa" w:w="3000"/>
            <w:shd w:fill="EEF1F6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0:15–0:35</w:t>
            </w:r>
          </w:p>
        </w:tc>
        <w:tc>
          <w:tcPr>
            <w:tcW w:type="dxa" w:w="3000"/>
            <w:shd w:fill="EEF1F6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Theorie: ADR's</w:t>
            </w:r>
          </w:p>
        </w:tc>
        <w:tc>
          <w:tcPr>
            <w:tcW w:type="dxa" w:w="3000"/>
            <w:shd w:fill="EEF1F6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plenair</w:t>
            </w:r>
          </w:p>
        </w:tc>
      </w:tr>
      <w:tr>
        <w:tc>
          <w:tcPr>
            <w:tcW w:type="dxa" w:w="30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0:35–1:00</w:t>
            </w:r>
          </w:p>
        </w:tc>
        <w:tc>
          <w:tcPr>
            <w:tcW w:type="dxa" w:w="30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Opdracht 4 — ADR schrijven</w:t>
            </w:r>
          </w:p>
        </w:tc>
        <w:tc>
          <w:tcPr>
            <w:tcW w:type="dxa" w:w="30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tweetallen</w:t>
            </w:r>
          </w:p>
        </w:tc>
      </w:tr>
      <w:tr>
        <w:tc>
          <w:tcPr>
            <w:tcW w:type="dxa" w:w="3000"/>
            <w:shd w:fill="EEF1F6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1:00–1:15</w:t>
            </w:r>
          </w:p>
        </w:tc>
        <w:tc>
          <w:tcPr>
            <w:tcW w:type="dxa" w:w="3000"/>
            <w:shd w:fill="EEF1F6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Pauze</w:t>
            </w:r>
          </w:p>
        </w:tc>
        <w:tc>
          <w:tcPr>
            <w:tcW w:type="dxa" w:w="3000"/>
            <w:shd w:fill="EEF1F6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30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1:15–1:35</w:t>
            </w:r>
          </w:p>
        </w:tc>
        <w:tc>
          <w:tcPr>
            <w:tcW w:type="dxa" w:w="30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Theorie: Definition of Done</w:t>
            </w:r>
          </w:p>
        </w:tc>
        <w:tc>
          <w:tcPr>
            <w:tcW w:type="dxa" w:w="30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plenair</w:t>
            </w:r>
          </w:p>
        </w:tc>
      </w:tr>
      <w:tr>
        <w:tc>
          <w:tcPr>
            <w:tcW w:type="dxa" w:w="3000"/>
            <w:shd w:fill="EEF1F6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1:35–2:00</w:t>
            </w:r>
          </w:p>
        </w:tc>
        <w:tc>
          <w:tcPr>
            <w:tcW w:type="dxa" w:w="3000"/>
            <w:shd w:fill="EEF1F6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Opdracht 5 — DoD-criteria</w:t>
            </w:r>
          </w:p>
        </w:tc>
        <w:tc>
          <w:tcPr>
            <w:tcW w:type="dxa" w:w="3000"/>
            <w:shd w:fill="EEF1F6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drietallen</w:t>
            </w:r>
          </w:p>
        </w:tc>
      </w:tr>
      <w:tr>
        <w:tc>
          <w:tcPr>
            <w:tcW w:type="dxa" w:w="30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2:00–2:20</w:t>
            </w:r>
          </w:p>
        </w:tc>
        <w:tc>
          <w:tcPr>
            <w:tcW w:type="dxa" w:w="30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Theorie: de vier lagen</w:t>
            </w:r>
          </w:p>
        </w:tc>
        <w:tc>
          <w:tcPr>
            <w:tcW w:type="dxa" w:w="30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plenair</w:t>
            </w:r>
          </w:p>
        </w:tc>
      </w:tr>
      <w:tr>
        <w:tc>
          <w:tcPr>
            <w:tcW w:type="dxa" w:w="3000"/>
            <w:shd w:fill="EEF1F6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2:20–2:50</w:t>
            </w:r>
          </w:p>
        </w:tc>
        <w:tc>
          <w:tcPr>
            <w:tcW w:type="dxa" w:w="3000"/>
            <w:shd w:fill="EEF1F6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Opdracht 6 — de vier lagen in actie</w:t>
            </w:r>
          </w:p>
        </w:tc>
        <w:tc>
          <w:tcPr>
            <w:tcW w:type="dxa" w:w="3000"/>
            <w:shd w:fill="EEF1F6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viertallen</w:t>
            </w:r>
          </w:p>
        </w:tc>
      </w:tr>
      <w:tr>
        <w:tc>
          <w:tcPr>
            <w:tcW w:type="dxa" w:w="30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2:50–3:30</w:t>
            </w:r>
          </w:p>
        </w:tc>
        <w:tc>
          <w:tcPr>
            <w:tcW w:type="dxa" w:w="30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Verwerkingstijd huiswerk</w:t>
            </w:r>
          </w:p>
        </w:tc>
        <w:tc>
          <w:tcPr>
            <w:tcW w:type="dxa" w:w="30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individueel, begeleid</w:t>
            </w:r>
          </w:p>
        </w:tc>
      </w:tr>
      <w:tr>
        <w:tc>
          <w:tcPr>
            <w:tcW w:type="dxa" w:w="3000"/>
            <w:shd w:fill="EEF1F6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3:30–4:00</w:t>
            </w:r>
          </w:p>
        </w:tc>
        <w:tc>
          <w:tcPr>
            <w:tcW w:type="dxa" w:w="3000"/>
            <w:shd w:fill="EEF1F6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Samenvatting hele deel + vooruitblik deel 20</w:t>
            </w:r>
          </w:p>
        </w:tc>
        <w:tc>
          <w:tcPr>
            <w:tcW w:type="dxa" w:w="3000"/>
            <w:shd w:fill="EEF1F6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plenair</w:t>
            </w:r>
          </w:p>
        </w:tc>
      </w:tr>
    </w:tbl>
    <w:p>
      <w:pPr>
        <w:spacing w:before="200"/>
      </w:pPr>
    </w:p>
    <w:p>
      <w:r>
        <w:br w:type="page"/>
      </w:r>
    </w:p>
    <w:p>
      <w:pPr>
        <w:pStyle w:val="Heading2"/>
        <w:pBdr>
          <w:bottom w:val="single" w:color="2563A8" w:sz="6" w:space="4"/>
        </w:pBdr>
        <w:spacing w:after="160" w:before="300"/>
      </w:pPr>
      <w:r>
        <w:rPr>
          <w:rFonts w:ascii="Calibri" w:cs="Calibri" w:eastAsia="Calibri" w:hAnsi="Calibri"/>
          <w:b/>
          <w:bCs/>
          <w:color w:val="2563A8"/>
          <w:sz w:val="24"/>
          <w:szCs w:val="24"/>
        </w:rPr>
        <w:t xml:space="preserve">Didactische aanwijzingen per onderdeel</w:t>
      </w:r>
    </w:p>
    <w:p>
      <w:pPr>
        <w:spacing w:after="160" w:line="30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21"/>
          <w:szCs w:val="21"/>
        </w:rPr>
        <w:t xml:space="preserve">Theorie het misverstand ontleed (dagdeel A).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Dit is het intellectuele hoogtepunt van het deel. Bouw het op als een omkering: laat de groep eerst de veronderstelde tegenstelling hardop formuleren ("architectuur is traag, agile is snel"), erken de herkenbaarheid, en ontleed haar dan met de kaders/ontwerp-scheiding. De "aha" moet zichtbaar zijn.</w:t>
      </w:r>
    </w:p>
    <w:p>
      <w:pPr>
        <w:spacing w:after="160" w:line="30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21"/>
          <w:szCs w:val="21"/>
        </w:rPr>
        <w:t xml:space="preserve">Opdracht 2 — kern van dagdeel A.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De scrum master heeft een reëel punt (niet onredelijk, zei de casus met opzet). Brief de rolspeler om die redelijkheid vast te houden — het is geen antagonist, het is een collega met een legitieme frustratie. De architect-speler moet leren dat "u heeft gelijk om te vragen, en hier is waarom" sterker is dan verdedigen.</w:t>
      </w:r>
    </w:p>
    <w:p>
      <w:pPr>
        <w:spacing w:after="160" w:line="30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21"/>
          <w:szCs w:val="21"/>
        </w:rPr>
        <w:t xml:space="preserve">Opdracht 4 (dagdeel B).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Bewaak dat het voorbeeld écht onomkeerbaar is — een triviale ADR ondermijnt de vuistregel uit de reader.</w:t>
      </w:r>
    </w:p>
    <w:p>
      <w:pPr>
        <w:spacing w:after="160" w:line="30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21"/>
          <w:szCs w:val="21"/>
        </w:rPr>
        <w:t xml:space="preserve">Opdracht 6c.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Laat de "alle drie naar het gremium"-fout eerst gebeuren in een groepje voordat u het corrigeert — de ervaring van overbelasting beklijft beter dan de waarschuwing vooraf.</w:t>
      </w:r>
    </w:p>
    <w:p>
      <w:pPr>
        <w:spacing w:after="160" w:line="30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21"/>
          <w:szCs w:val="21"/>
        </w:rPr>
        <w:t xml:space="preserve">Afsluiting dagdeel B.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Dit is een goed moment om terug te blikken op de hele cursus tot nu toe: het ondergronds-patroon is nu vier keer verschenen (begrippen, kopieën, technologie, en — impliciet — hier bij een te zwaar gremium). Laat de groep de vier keer zelf opsommen als afsluitende oefening.</w:t>
      </w:r>
    </w:p>
    <w:p>
      <w:r>
        <w:br w:type="page"/>
      </w:r>
    </w:p>
    <w:p>
      <w:pPr>
        <w:pStyle w:val="Heading2"/>
        <w:pBdr>
          <w:bottom w:val="single" w:color="2563A8" w:sz="6" w:space="4"/>
        </w:pBdr>
        <w:spacing w:after="160" w:before="300"/>
      </w:pPr>
      <w:r>
        <w:rPr>
          <w:rFonts w:ascii="Calibri" w:cs="Calibri" w:eastAsia="Calibri" w:hAnsi="Calibri"/>
          <w:b/>
          <w:bCs/>
          <w:color w:val="2563A8"/>
          <w:sz w:val="24"/>
          <w:szCs w:val="24"/>
        </w:rPr>
        <w:t xml:space="preserve">Veelgestelde vragen en gevoeligheden</w:t>
      </w:r>
    </w:p>
    <w:p>
      <w:pPr>
        <w:pStyle w:val="ListParagraph"/>
        <w:numPr>
          <w:ilvl w:val="0"/>
          <w:numId w:val="1"/>
        </w:numPr>
        <w:spacing w:after="100" w:line="290"/>
      </w:pPr>
      <w:r>
        <w:rPr>
          <w:rFonts w:ascii="Calibri" w:cs="Calibri" w:eastAsia="Calibri" w:hAnsi="Calibri"/>
          <w:b w:val="false"/>
          <w:bCs w:val="false"/>
          <w:i/>
          <w:iCs/>
          <w:color w:val="1A1A1A"/>
          <w:sz w:val="21"/>
          <w:szCs w:val="21"/>
        </w:rPr>
        <w:t xml:space="preserve">"Werkt dit ook bij Kanban / SAFe / andere agile smaken?"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— Het onderliggende principe (kaders stabiel, ontwerp emergent) is methode-onafhankelijk; de concrete ceremonies (refinement, sprint review) verschillen per methode maar de rolverdeling niet.</w:t>
      </w:r>
    </w:p>
    <w:p>
      <w:pPr>
        <w:pStyle w:val="ListParagraph"/>
        <w:numPr>
          <w:ilvl w:val="0"/>
          <w:numId w:val="1"/>
        </w:numPr>
        <w:spacing w:after="100" w:line="290"/>
      </w:pPr>
      <w:r>
        <w:rPr>
          <w:rFonts w:ascii="Calibri" w:cs="Calibri" w:eastAsia="Calibri" w:hAnsi="Calibri"/>
          <w:b w:val="false"/>
          <w:bCs w:val="false"/>
          <w:i/>
          <w:iCs/>
          <w:color w:val="1A1A1A"/>
          <w:sz w:val="21"/>
          <w:szCs w:val="21"/>
        </w:rPr>
        <w:t xml:space="preserve">"Wat als het team de architectuurcriteria in de DoD gewoon negeert?"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— Dan is dat een signaal voor de samenhangtoets of, bij herhaling, voor het gremium — niet iets dat de architect zelf moet afdwingen (dat zou weer poortwachterij zijn).</w:t>
      </w:r>
    </w:p>
    <w:p>
      <w:pPr>
        <w:pStyle w:val="ListParagraph"/>
        <w:numPr>
          <w:ilvl w:val="0"/>
          <w:numId w:val="1"/>
        </w:numPr>
        <w:spacing w:after="100" w:line="29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Gevoeligheid: deelnemers met negatieve ervaringen (architecten die zich buitengesloten voelden, of teams die zich gecontroleerd voelden) kunnen dit dagdeel als vindicatie of als kritiek ervaren — houd de toon constructief en toekomstgericht, niet schuld toewijzend aan een van beide "kampen".</w:t>
      </w:r>
    </w:p>
    <w:p>
      <w:pPr>
        <w:pStyle w:val="Heading2"/>
        <w:pBdr>
          <w:bottom w:val="single" w:color="2563A8" w:sz="6" w:space="4"/>
        </w:pBdr>
        <w:spacing w:after="160" w:before="300"/>
      </w:pPr>
      <w:r>
        <w:rPr>
          <w:rFonts w:ascii="Calibri" w:cs="Calibri" w:eastAsia="Calibri" w:hAnsi="Calibri"/>
          <w:b/>
          <w:bCs/>
          <w:color w:val="2563A8"/>
          <w:sz w:val="24"/>
          <w:szCs w:val="24"/>
        </w:rPr>
        <w:t xml:space="preserve">Voorbereiding volgende bijeenkomst</w:t>
      </w:r>
    </w:p>
    <w:p>
      <w:pPr>
        <w:spacing w:after="160" w:line="30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Hoofdstukken vooraf laten inleveren voor eigen dossier (geen peer feedback dit keer, zoals in het werkboek vermeld). Deel 20 is zelfstandig leesbaar en los aanbiedbaar — communiceer dat aan deelnemers die alleen dít deel volgen.</w:t>
      </w:r>
    </w:p>
    <w:sectPr>
      <w:headerReference w:type="default" r:id="rId7"/>
      <w:footerReference w:type="default" r:id="rId8"/>
      <w:pgSz w:w="11906" w:h="16838" w:orient="portrait"/>
      <w:pgMar w:top="1100" w:right="1100" w:bottom="110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6B7280"/>
        <w:sz w:val="15"/>
        <w:szCs w:val="15"/>
      </w:rPr>
      <w:t xml:space="preserve">Business &amp; Enterprise Architectuur — </w:t>
    </w:r>
    <w:r>
      <w:rPr>
        <w:rFonts w:ascii="Calibri" w:cs="Calibri" w:eastAsia="Calibri" w:hAnsi="Calibri"/>
        <w:color w:val="6B7280"/>
        <w:sz w:val="15"/>
        <w:szCs w:val="15"/>
      </w:rPr>
      <w:t xml:space="preserve">pagina </w:t>
    </w:r>
    <w:r>
      <w:rPr>
        <w:rFonts w:ascii="Calibri" w:cs="Calibri" w:eastAsia="Calibri" w:hAnsi="Calibri"/>
        <w:color w:val="6B7280"/>
        <w:sz w:val="15"/>
        <w:szCs w:val="15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Calibri" w:cs="Calibri" w:eastAsia="Calibri" w:hAnsi="Calibri"/>
        <w:color w:val="6B7280"/>
        <w:sz w:val="16"/>
        <w:szCs w:val="16"/>
      </w:rPr>
      <w:t xml:space="preserve">Deel 19 · Docentenhandleiding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2026-08-17T11:48:16.109Z</dcterms:created>
  <dcterms:modified xsi:type="dcterms:W3CDTF">2026-08-17T11:48:16.111Z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