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19</w:t>
      </w:r>
    </w:p>
    <w:p>
      <w:pPr>
        <w:spacing w:after="300"/>
      </w:pPr>
      <w:r>
        <w:rPr>
          <w:rFonts w:ascii="Calibri" w:cs="Calibri" w:eastAsia="Calibri" w:hAnsi="Calibri"/>
          <w:b/>
          <w:bCs/>
          <w:color w:val="14213D"/>
          <w:sz w:val="34"/>
          <w:szCs w:val="34"/>
        </w:rPr>
        <w:t xml:space="preserve">Werkboek — Architectuur in agile realisatie (twee dagdelen)</w:t>
      </w:r>
    </w:p>
    <w:p>
      <w:pPr>
        <w:spacing w:after="160" w:line="300"/>
        <w:jc w:val="left"/>
      </w:pPr>
      <w:r>
        <w:rPr>
          <w:rFonts w:ascii="Calibri" w:cs="Calibri" w:eastAsia="Calibri" w:hAnsi="Calibri"/>
          <w:b w:val="false"/>
          <w:bCs w:val="false"/>
          <w:i w:val="false"/>
          <w:iCs w:val="false"/>
          <w:color w:val="1A1A1A"/>
          <w:sz w:val="21"/>
          <w:szCs w:val="21"/>
        </w:rPr>
        <w:t xml:space="preserve">## Dagdeel A</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patroonbibliotheek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"Heeft elk patroon een echte context-clausule, of alleen de oplossing?"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Kaders of ontwerp? (25 min, individueel, daarna plenair)</w:t>
      </w:r>
    </w:p>
    <w:p>
      <w:pPr>
        <w:spacing w:after="160" w:line="300"/>
        <w:jc w:val="left"/>
      </w:pPr>
      <w:r>
        <w:rPr>
          <w:rFonts w:ascii="Calibri" w:cs="Calibri" w:eastAsia="Calibri" w:hAnsi="Calibri"/>
          <w:b w:val="false"/>
          <w:bCs w:val="false"/>
          <w:i w:val="false"/>
          <w:iCs w:val="false"/>
          <w:color w:val="1A1A1A"/>
          <w:sz w:val="21"/>
          <w:szCs w:val="21"/>
        </w:rPr>
        <w:t xml:space="preserve">Classificeer elk van de volgende acht beslissingen als "kader" (hoort vooraf vastgelegd, stabiel) of "ontwerp" (hoort emergent, per sprint bij het team):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"Elk gegeven heeft precies één bronregistratie."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 gebruiken voor deze user story een pop-up in plaats van een aparte pagina."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"IAM-Suite is verplicht voor identiteitsbeheer."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 splitsen deze story in twee kleinere stories."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"Nieuwe koppelvlakken worden ontsloten via services."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 testen deze functionaliteit met drie in plaats van vijf testcases deze sprint."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architect adviseert, de business beslist."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 kiezen dit datatype voor dit specifieke veld."</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wat zou er misgaan als een team nummer 1, 3, 5 of 7 als "ontwerp" behandelt en elke sprint opnieuw ter discussie stelt?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Het conflict met de scrum master (30 min, drietallen, incl. rollenspel)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Analyseer de casus (reader §1, §3): is de ontwerpreview een teken van poortwachterij, of van een gat in de PSA?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Rollenspel (10 min): de architect legt de scrum master het antwoord uit de reader (§3) uit — zonder defensief te worden, zonder de vraag als onredelijk weg te zetten.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wat is het verschil tussen "dit moet langs ons omdat het moet" en het antwoord dat de reader geeft?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De architect in het team (25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Ontwerp de aanwezigheid van de architectuurfunctie bij het Betalingsmutaties-team: welke ceremonies, met welke frequentie, met welk mandaat.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zou dagelijkse aanwezigheid bij de stand-up eerder schadelijk dan behulpzaam zijn?</w:t>
            </w:r>
          </w:p>
        </w:tc>
      </w:tr>
    </w:tbl>
    <w:p>
      <w:pPr>
        <w:spacing w:after="160" w:line="300"/>
        <w:jc w:val="left"/>
      </w:pPr>
      <w:r>
        <w:rPr>
          <w:rFonts w:ascii="Calibri" w:cs="Calibri" w:eastAsia="Calibri" w:hAnsi="Calibri"/>
          <w:b w:val="false"/>
          <w:bCs w:val="false"/>
          <w:i w:val="false"/>
          <w:iCs w:val="false"/>
          <w:color w:val="1A1A1A"/>
          <w:sz w:val="21"/>
          <w:szCs w:val="21"/>
        </w:rPr>
        <w:t xml:space="preserve">## Dagdeel B</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ADR schrijven (25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Schrijf een ADR voor een fictieve, onomkeerbare beslissing binnen het Betalingsmutaties-project (bijvoorbeeld: welke berichtformaat voor de IBAN-validatiekoppeling).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pas de drie criteria uit de reader (§5) toe: waarom verdient uw voorbeeld een ADR, en welk van de drie criteria (onomkeerbaar / raakt kader / raakt ander team) is het sterkst van toepassing?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Definition of Done met architectuurcriteria (25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Stel drie architectuurcriteria op voor de Definition of Done van een mutatieteam, gebaseerd op de principes uit niveau 1, deel 9.</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zijn dit criteria die het team zelf kan checken, in plaats van criteria die een externe toets vereisen?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De vier lagen in actie (30 min, viertallen)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Teken de vier governance-lagen (refinement, PSA-toetsing, samenhangtoets, gremium) met per laag: frequentie, deelnemers, wat wordt getoetst.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Plaats drie fictieve situaties (een klein ontwerpdetail, een principiële afwijking, een conflict tussen twee teams) bij de juiste laag.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wat gaat er mis als alle drie situaties naar het gremium gaan?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Huiswerk: het lichte governancemodel als programmadossier-hoofdstuk (schriftelijk, inleveren vóór deel 20)</w:t>
      </w:r>
    </w:p>
    <w:p>
      <w:pPr>
        <w:spacing w:after="160" w:line="300"/>
        <w:jc w:val="left"/>
      </w:pPr>
      <w:r>
        <w:rPr>
          <w:rFonts w:ascii="Calibri" w:cs="Calibri" w:eastAsia="Calibri" w:hAnsi="Calibri"/>
          <w:b w:val="false"/>
          <w:bCs w:val="false"/>
          <w:i w:val="false"/>
          <w:iCs w:val="false"/>
          <w:color w:val="1A1A1A"/>
          <w:sz w:val="21"/>
          <w:szCs w:val="21"/>
        </w:rPr>
        <w:t xml:space="preserve">Voeg toe: de vier lagen, twee voorbeeld-ADR's, en de Definition of Done-criteria (max. twee A4). Deel 20 is zelfstandig en opent niet met peer feedback op dit specifieke hoofdstuk, maar bewaar het voor uw eigen dossier.</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Kader: 1, 3, 5, 7. Ontwerp: 2, 4, 6, 8.</w:t>
      </w:r>
    </w:p>
    <w:p>
      <w:pPr>
        <w:spacing w:after="160" w:line="300"/>
        <w:jc w:val="left"/>
      </w:pPr>
      <w:r>
        <w:rPr>
          <w:rFonts w:ascii="Calibri" w:cs="Calibri" w:eastAsia="Calibri" w:hAnsi="Calibri"/>
          <w:b w:val="false"/>
          <w:bCs w:val="false"/>
          <w:i w:val="false"/>
          <w:iCs w:val="false"/>
          <w:color w:val="1A1A1A"/>
          <w:sz w:val="21"/>
          <w:szCs w:val="21"/>
        </w:rPr>
        <w:t xml:space="preserve">Verantwoording: als kaders elke sprint ter discussie staan, verspilt het team tijd aan vragen die al beantwoord zijn (de rationale achter elk principe is immers al vastgelegd — niveau 1, deel 9), en ontstaat het risico dat verschillende sprints tot verschillende antwoorden komen — precies de inconsistentie die B5 (niveau 1) veroorzaakte.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Een gat in de PSA — de vraag die de review opriep, bestond niet in de oorspronkelijke bindende kaders (deel 15) en moest daarom eenmalig beantwoord worden; dat is geen poortwachterij maar het vullen van een leemte.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Observatiepunten rollenspel: erkent de architect het gevoel van vertraging bij de scrum master? Legt hij uit dat dít specifieke geval eenmalig is (het gat wordt gevuld, niet elke toekomstige story getoetst)? Biedt hij een snel tijdpad (tien minuten) in plaats van een formeel proces?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"Omdat het moet" beroept zich op autoriteit zonder reden; het reader-antwoord legt de oorzaak bloot (een PSA-gat) én de consequentie (eenmalig, dan nooit meer) — het verschil tussen regelgedreven en probleemgedreven communicatie, dezelfde les als deel 1's "spreek de taal van de concern".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Modelontwerp: sprint refinement (elke sprint, architect optioneel aanwezig, adviserend bij nieuwe stories die kaders kunnen raken), sprint review (elke sprint, korte terugkoppeling of het gebouwde nog binnen kaders past), PSA-toetsing (bij mijlpalen, dieper).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Dagelijkse aanwezigheid zou de indruk wekken dat de architect over het dagelijkse werk gaat (het team zou zich gecontroleerd voelen, precies de poortwachter-associatie die dit deel wil wegnemen) en levert weinig op omdat de meeste daily-onderwerpen geen kaderrelevantie hebben — aanwezigheid moet schaars en gericht zijn om waardevol te blijven.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a-b. Modelvoorbeeld: context (IBAN-validatie moet een format kiezen dat toekomstig internationale IBAN's ondersteunt); opties (twee bibliotheken overwogen); keuze (bibliotheek X, vanwege ISO-conformiteit); gevolgen (koppeling met premiesysteem moet dit format ook accepteren — raakt een ander team, dus ook relevant voor de samenhangtoets). Sterkste criterium hier: raakt een ander team (het premiesysteem-koppelvlak).</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Modelcriteria: "nieuwe koppelvlakken zijn ontsloten via services, tenzij een goedgekeurde afwijking bestaat" (principe "afwijken mag, verdwijnen niet"); "elk nieuw gegeven heeft een aangewezen bronregistratie, vastgelegd in de bronnenkaart" (eén-waarheid-principe); "onomkeerbare ontwerpbeslissingen hebben een ADR."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De criteria zijn concreet en verifieerbaar door het team zelf (is er een ADR? staat de bron in de kaart?) zonder dat een externe partij hoeft te beoordelen — dat is precies het verschil tussen toezicht (iemand anders checkt) en eigenaarschap (het team checkt zichzelf) uit de reader §6.</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6</w:t>
      </w:r>
    </w:p>
    <w:p>
      <w:pPr>
        <w:spacing w:after="160" w:line="300"/>
        <w:jc w:val="left"/>
      </w:pPr>
      <w:r>
        <w:rPr>
          <w:rFonts w:ascii="Calibri" w:cs="Calibri" w:eastAsia="Calibri" w:hAnsi="Calibri"/>
          <w:b w:val="false"/>
          <w:bCs w:val="false"/>
          <w:i w:val="false"/>
          <w:iCs w:val="false"/>
          <w:color w:val="1A1A1A"/>
          <w:sz w:val="21"/>
          <w:szCs w:val="21"/>
        </w:rPr>
        <w:t xml:space="preserve">a-b. Klein ontwerpdetail → geen van de vier lagen nodig (team beslist zelf, mogelijk met een lichte ADR). Principiële afwijking → gremium (via het afwijkingenproces, niveau 1 deel 7). Conflict tussen twee teams → samenhangtoets, met escalatie naar het gremium alleen als de teams er samen niet uitkomen.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Alle drie naar het gremium sturen overlaadt het orgaan met zaken die het niet allemaal hoeft te behandelen — precies het te-zwaar-gremium-risico (niveau 1, deel 9, opdracht 4e) en het ondergronds-patroon dat daarop volgt: teams die de moeite niet meer nemen om iets te melden omdat de route te zwaar is.</w:t>
      </w:r>
    </w:p>
    <w:p>
      <w:pPr>
        <w:spacing w:after="160" w:line="300"/>
        <w:jc w:val="left"/>
      </w:pPr>
      <w:r>
        <w:rPr>
          <w:rFonts w:ascii="Calibri" w:cs="Calibri" w:eastAsia="Calibri" w:hAnsi="Calibri"/>
          <w:b w:val="false"/>
          <w:bCs w:val="false"/>
          <w:i w:val="false"/>
          <w:iCs w:val="false"/>
          <w:color w:val="1A1A1A"/>
          <w:sz w:val="21"/>
          <w:szCs w:val="21"/>
        </w:rPr>
        <w:t xml:space="preserve">## Beoordelingskader opdracht 7</w:t>
      </w:r>
    </w:p>
    <w:p>
      <w:pPr>
        <w:spacing w:after="160" w:line="300"/>
        <w:jc w:val="left"/>
      </w:pPr>
      <w:r>
        <w:rPr>
          <w:rFonts w:ascii="Calibri" w:cs="Calibri" w:eastAsia="Calibri" w:hAnsi="Calibri"/>
          <w:b w:val="false"/>
          <w:bCs w:val="false"/>
          <w:i w:val="false"/>
          <w:iCs w:val="false"/>
          <w:color w:val="1A1A1A"/>
          <w:sz w:val="21"/>
          <w:szCs w:val="21"/>
        </w:rPr>
        <w:t xml:space="preserve">Sterk: de vier lagen zijn scherp onderscheiden qua frequentie en publiek, niet inwisselbaar; de ADR's tonen echte onomkeerbare keuzes, geen triviale details. Zwak: een governancemodel dat feitelijk alles naar het gremium terugbrengt, ondanks de lichte-lagen-belofte.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2026-08-17T11:48:15.425Z</dcterms:created>
  <dcterms:modified xsi:type="dcterms:W3CDTF">2026-08-17T11:48:15.439Z</dcterms:modified>
</cp:coreProperties>
</file>

<file path=docProps/custom.xml><?xml version="1.0" encoding="utf-8"?>
<Properties xmlns="http://schemas.openxmlformats.org/officeDocument/2006/custom-properties" xmlns:vt="http://schemas.openxmlformats.org/officeDocument/2006/docPropsVTypes"/>
</file>