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2563A8"/>
          <w:sz w:val="20"/>
          <w:szCs w:val="20"/>
        </w:rPr>
        <w:t xml:space="preserve">BUSINESS &amp; ENTERPRISE ARCHITECTUUR</w:t>
      </w:r>
    </w:p>
    <w:p>
      <w:pPr>
        <w:spacing w:after="4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Niveau 2 — Deel 22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14213D"/>
          <w:sz w:val="32"/>
          <w:szCs w:val="32"/>
        </w:rPr>
        <w:t xml:space="preserve">Docentenhandleiding — Examentraining en capstone: doelarchitectuur en roadmap verdedigd</w:t>
      </w:r>
    </w:p>
    <w:tbl>
      <w:tblPr>
        <w:tblW w:type="pct" w:w="100%"/>
        <w:tblBorders>
          <w:top w:val="single" w:color="E9A13B" w:sz="4"/>
          <w:left w:val="single" w:color="E9A13B" w:sz="24"/>
          <w:bottom w:val="single" w:color="E9A13B" w:sz="4"/>
          <w:right w:val="single" w:color="E9A1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1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9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Duur: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één dagdeel (4 uur incl. pauze) — bij grote groepen tweede dagdeel voor de verdedigingen, zelfde overweging als niveau 1 deel 10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Groepsgrootte: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8-16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Voorkennis: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deel 11-21 volledig; alle programmadossier-hoofdstukken compleet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Materiaal: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reader/werkboek/slidedeck deel 22, rolkaarten (programmastuurgroep/CFO/ander-programma-vertegenwoordiger/Architecture Board-lid), tijdklok</w:t>
            </w:r>
          </w:p>
        </w:tc>
      </w:tr>
    </w:tbl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Plaats van dit deel in het niveau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Het laatste deel van niveau 2, in vorm gelijk aan niveau 1's deel 10 maar op programmaschaal: bredere rolverdeling (vier in plaats van vier-maar-anders — met name de toevoeging van het andere-programma-perspectief en het Board-lid is nieuw), een vijfde rubriekcriterium (herbruikbaarheid), en langere verdedigingen (15 in plaats van 12 minuten). Waarschuw net als bij niveau 1 voor het tijdsrisico bij grote groepen.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Dagdeelplanning (groep tot ~8, alles in één dagdeel)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Tijd</w:t>
            </w:r>
          </w:p>
        </w:tc>
        <w:tc>
          <w:tcPr>
            <w:tcW w:type="dxa" w:w="300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Onderdeel</w:t>
            </w:r>
          </w:p>
        </w:tc>
        <w:tc>
          <w:tcPr>
            <w:tcW w:type="dxa" w:w="300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Werkvorm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0:00–0:10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Opening: laatste deel van niveau 2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0:10–0:15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Examenformat kort toegelicht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0:15–0:55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1 — proefexamen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individueel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0:55–1:10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Nakijken + bespreking valkuilen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tweetallen → plenair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1:10–1:25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Pauze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1:25–1:55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2 — dossier samenvoegen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individueel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1:55–2:25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3 — verdediging voorbereiden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individueel + peer-check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2:25–3:55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4 — portfoliobeoordelingen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plenair, rouleren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3:55–4:00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Afsluiting niveau 2 + vooruitblik niveau 3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</w:tr>
    </w:tbl>
    <w:p>
      <w:pPr>
        <w:spacing w:before="200"/>
      </w:pP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Bij grotere groepen: verplaats opdracht 4 grotendeels of geheel naar een tweede dagdeel, zoals in niveau 1 deel 10 beschreven.</w:t>
      </w: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Didactische aanwijzingen per onderdeel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Proefexamen.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Vraag 3 is de subtielste — bewaak dat de nabespreking het onderscheid parametriseren-versus-uitzondering scherp maakt: parametriseren dient terugkerende variantie, niet eenmalige gevallen.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4.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De twee nieuwe rollen (ander programma, Board-lid) vragen een andere soort vraag dan niveau 1's MT-rollen — brief de rolspelers: het andere-programma-lid vraagt door op hergebruikbaarheid ("kan ik dit letterlijk overnemen, of moet ik het herbouwen?"), het Board-lid vraagt door op governance-consistentie ("hoe weet ik dat dit niet stiekem van de enterprise-principes afwijkt?"). Beoordeel het vijfde rubriekcriterium (herbruikbaarheid) net zo serieus als de andere vier.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Afsluiting niveau 2.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Net als bij niveau 1: neem de tijd. Loop de governance-lijn (deel 9 t/m 21) nog eens langs, en de patroon/referentiearchitectuur-lijn (deel 18) als het tweede grote resultaat van dit niveau naast de opgeschaalde ADM-toepassing zelf.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Voorbereiding niveau 3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Niveau 3 begint bij deel 23 met een nieuwe, zwaardere casus (Stelselovergang/Wtp) en een fundamenteel ander soort certificering (Open CA: evidence en boardverdediging, geen schriftelijk examen). Kondig dat verschil expliciet aan — de vaardigheid die niveau 3 vraagt (schriftelijk verantwoorden) is al door de hele cursus heen getraind via de verantwoordingsvragen, maar niveau 3 maakt die vaardigheid tot het volledige examen zelf.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Afronding niveau 2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Niveau 2 is hiermee inhoudelijk compleet: twaalf delen, 48 deliverables, de ADM opgeschaald naar programmaniveau, BIZBOK-verdieping, ArchiMate Part 2 volledig, en een complete governance-architectuur van team tot enterprise (inclusief deel 20, los aanbiedbaar). Resterend voor de hele cursus: de Toolbijlage (buiten de nummering) en figuren + opmaak (allerlaatste stap, na niveau 3). Niveau 3 begint bij deel 23.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Business &amp; Enterprise Architectuur — </w:t>
    </w:r>
    <w:r>
      <w:rPr>
        <w:rFonts w:ascii="Calibri" w:cs="Calibri" w:eastAsia="Calibri" w:hAnsi="Calibri"/>
        <w:color w:val="6B7280"/>
        <w:sz w:val="15"/>
        <w:szCs w:val="15"/>
      </w:rPr>
      <w:t xml:space="preserve">pagina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Deel 22 · Docentenhandleiding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2026-08-17T11:48:25.797Z</dcterms:created>
  <dcterms:modified xsi:type="dcterms:W3CDTF">2026-08-17T11:48:25.799Z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