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22</w:t>
      </w:r>
    </w:p>
    <w:p>
      <w:pPr>
        <w:spacing w:after="300"/>
      </w:pPr>
      <w:r>
        <w:rPr>
          <w:rFonts w:ascii="Calibri" w:cs="Calibri" w:eastAsia="Calibri" w:hAnsi="Calibri"/>
          <w:b/>
          <w:bCs/>
          <w:color w:val="14213D"/>
          <w:sz w:val="40"/>
          <w:szCs w:val="40"/>
        </w:rPr>
        <w:t xml:space="preserve">Examentraining en capstone: doelarchitectuur en roadmap verdedigd</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Laatste deel van niveau 2. Dit deel traint TOGAF EA Practitioner (OGEA-102) en ArchiMate® 3 Part 2, en rondt af met de verdediging van uw doelarchitectuur en roadmap voor het Programma Mutatieplatform — het programmaniveau-equivalent van de capstone in niveau 1, deel 10.</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examenformat van Practitioner en ArchiMate Part 2 hanteren, inclusief scenario's op programmaschaal;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belangrijkste examenvalkuilen van niveau 2 herkennen en vermijden;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uw twaalf-delen programmadossier samenvoegen tot één verdedigbare doelarchitectuur en roadmap;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deze verdedigen voor een bredere groep rollen dan niveau 1 (inclusief andere programma's, de Architecture Board) en vragen beantwoorden die de volledige breedte van niveau 2 aanspreken.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de portfoliobeoordeling</w:t>
      </w:r>
    </w:p>
    <w:p>
      <w:pPr>
        <w:spacing w:after="160" w:line="300"/>
        <w:jc w:val="left"/>
      </w:pPr>
      <w:r>
        <w:rPr>
          <w:rFonts w:ascii="Calibri" w:cs="Calibri" w:eastAsia="Calibri" w:hAnsi="Calibri"/>
          <w:b w:val="false"/>
          <w:bCs w:val="false"/>
          <w:i w:val="false"/>
          <w:iCs w:val="false"/>
          <w:color w:val="1A1A1A"/>
          <w:sz w:val="21"/>
          <w:szCs w:val="21"/>
        </w:rPr>
        <w:t xml:space="preserve">Waar niveau 1 eindigde met één MT-verdediging over één dossier, eindigt niveau 2 met een </w:t>
      </w:r>
      <w:r>
        <w:rPr>
          <w:rFonts w:ascii="Calibri" w:cs="Calibri" w:eastAsia="Calibri" w:hAnsi="Calibri"/>
          <w:b/>
          <w:bCs/>
          <w:i w:val="false"/>
          <w:iCs w:val="false"/>
          <w:color w:val="1A1A1A"/>
          <w:sz w:val="21"/>
          <w:szCs w:val="21"/>
        </w:rPr>
        <w:t xml:space="preserve">portfoliobeoordeling</w:t>
      </w:r>
      <w:r>
        <w:rPr>
          <w:rFonts w:ascii="Calibri" w:cs="Calibri" w:eastAsia="Calibri" w:hAnsi="Calibri"/>
          <w:b w:val="false"/>
          <w:bCs w:val="false"/>
          <w:i w:val="false"/>
          <w:iCs w:val="false"/>
          <w:color w:val="1A1A1A"/>
          <w:sz w:val="21"/>
          <w:szCs w:val="21"/>
        </w:rPr>
        <w:t xml:space="preserve">: de Architecture Board (deel 21) en de stuurgroep beoordelen samen of het Mutatieplatform-programma zoals opgezet, doorgezet moet worden — inclusief de vraag of het model (patronen, referentiearchitectuur, governance) rijp genoeg is om als voorbeeld voor andere programma's (het declaratieproces) te dienen.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Het examenformat: Practitioner en Part 2</w:t>
      </w:r>
    </w:p>
    <w:p>
      <w:pPr>
        <w:spacing w:after="160" w:line="300"/>
        <w:jc w:val="left"/>
      </w:pPr>
      <w:r>
        <w:rPr>
          <w:rFonts w:ascii="Calibri" w:cs="Calibri" w:eastAsia="Calibri" w:hAnsi="Calibri"/>
          <w:b/>
          <w:bCs/>
          <w:i w:val="false"/>
          <w:iCs w:val="false"/>
          <w:color w:val="1A1A1A"/>
          <w:sz w:val="21"/>
          <w:szCs w:val="21"/>
        </w:rPr>
        <w:t xml:space="preserve">Practitioner (OGEA-102)</w:t>
      </w:r>
      <w:r>
        <w:rPr>
          <w:rFonts w:ascii="Calibri" w:cs="Calibri" w:eastAsia="Calibri" w:hAnsi="Calibri"/>
          <w:b w:val="false"/>
          <w:bCs w:val="false"/>
          <w:i w:val="false"/>
          <w:iCs w:val="false"/>
          <w:color w:val="1A1A1A"/>
          <w:sz w:val="21"/>
          <w:szCs w:val="21"/>
        </w:rPr>
        <w:t xml:space="preserve"> bouwt op Foundation-kennis en toetst toepassing op complexere scenario's: meerdere stakeholders met botsende belangen, iteratiestrategieën, PSA-inhoud, gap-analyse. De vragen zijn langer en scenario-rijker dan Foundation; de meerkeuzevorm blijft, maar het scenario draagt meer gewicht in de beoordeling.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Voorbeeldvraag.</w:t>
            </w:r>
            <w:r>
              <w:rPr>
                <w:rFonts w:ascii="Calibri" w:cs="Calibri" w:eastAsia="Calibri" w:hAnsi="Calibri"/>
                <w:b w:val="false"/>
                <w:bCs w:val="false"/>
                <w:i/>
                <w:iCs/>
                <w:color w:val="14213D"/>
                <w:sz w:val="20"/>
                <w:szCs w:val="20"/>
              </w:rPr>
              <w:t xml:space="preserve"> </w:t>
            </w:r>
            <w:r>
              <w:rPr>
                <w:rFonts w:ascii="Calibri" w:cs="Calibri" w:eastAsia="Calibri" w:hAnsi="Calibri"/>
                <w:b w:val="false"/>
                <w:bCs w:val="false"/>
                <w:i/>
                <w:iCs/>
                <w:color w:val="14213D"/>
                <w:sz w:val="20"/>
                <w:szCs w:val="20"/>
              </w:rPr>
              <w:t xml:space="preserve">"Een programma met vijf domeinteams ontdekt dat twee teams botsende requirements hebben op een gedeelde capability. Wat is de aangewezen eerste stap?"</w:t>
            </w:r>
            <w:r>
              <w:rPr>
                <w:rFonts w:ascii="Calibri" w:cs="Calibri" w:eastAsia="Calibri" w:hAnsi="Calibri"/>
                <w:b w:val="false"/>
                <w:bCs w:val="false"/>
                <w:i/>
                <w:iCs/>
                <w:color w:val="14213D"/>
                <w:sz w:val="20"/>
                <w:szCs w:val="20"/>
              </w:rPr>
              <w:t xml:space="preserve"> A) Eén team laten winnen op basis van anciënniteit B) De requirement parametriseren met eigenaarschap bij de business C) Beide requirements negeren tot het programma is afgerond D) Een nieuw, apart systeem bouwen voor elk team. Het juiste antwoord is B (deel 11, §4.2) — A is willekeur, C is uitstel dat het probleem verergert, D herhaalt B12.</w:t>
            </w:r>
          </w:p>
        </w:tc>
      </w:tr>
    </w:tbl>
    <w:p>
      <w:pPr>
        <w:spacing w:after="160" w:line="300"/>
        <w:jc w:val="left"/>
      </w:pPr>
      <w:r>
        <w:rPr>
          <w:rFonts w:ascii="Calibri" w:cs="Calibri" w:eastAsia="Calibri" w:hAnsi="Calibri"/>
          <w:b/>
          <w:bCs/>
          <w:i w:val="false"/>
          <w:iCs w:val="false"/>
          <w:color w:val="1A1A1A"/>
          <w:sz w:val="21"/>
          <w:szCs w:val="21"/>
        </w:rPr>
        <w:t xml:space="preserve">ArchiMate Part 2</w:t>
      </w:r>
      <w:r>
        <w:rPr>
          <w:rFonts w:ascii="Calibri" w:cs="Calibri" w:eastAsia="Calibri" w:hAnsi="Calibri"/>
          <w:b w:val="false"/>
          <w:bCs w:val="false"/>
          <w:i w:val="false"/>
          <w:iCs w:val="false"/>
          <w:color w:val="1A1A1A"/>
          <w:sz w:val="21"/>
          <w:szCs w:val="21"/>
        </w:rPr>
        <w:t xml:space="preserve"> toetst de gevorderde lagen (motivatie, strategie, implementatie/migratie) en viewpoints in de diepte — inclusief het correct kiezen tussen influence en realization (deel 13) en het matchen van stakeholder-concerns aan formele viewpoints (deel 14).</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Examenvalkuilen van niveau 2</w:t>
      </w:r>
    </w:p>
    <w:p>
      <w:pPr>
        <w:spacing w:after="160" w:line="300"/>
        <w:jc w:val="left"/>
      </w:pPr>
      <w:r>
        <w:rPr>
          <w:rFonts w:ascii="Calibri" w:cs="Calibri" w:eastAsia="Calibri" w:hAnsi="Calibri"/>
          <w:b w:val="false"/>
          <w:bCs w:val="false"/>
          <w:i w:val="false"/>
          <w:iCs w:val="false"/>
          <w:color w:val="1A1A1A"/>
          <w:sz w:val="21"/>
          <w:szCs w:val="21"/>
        </w:rPr>
        <w:t xml:space="preserve">Zeven valkuilen, elk gekoppeld aan het deel waar ze ontstonden: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Programmavisie met dossiervisie verwarren</w:t>
      </w:r>
      <w:r>
        <w:rPr>
          <w:rFonts w:ascii="Calibri" w:cs="Calibri" w:eastAsia="Calibri" w:hAnsi="Calibri"/>
          <w:b w:val="false"/>
          <w:bCs w:val="false"/>
          <w:i w:val="false"/>
          <w:iCs w:val="false"/>
          <w:color w:val="1A1A1A"/>
          <w:sz w:val="21"/>
          <w:szCs w:val="21"/>
        </w:rPr>
        <w:t xml:space="preserve"> (deel 11) — een programma-Architecture Vision is geen optelsom van vijf dossiervisies.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Parametriseren met middelen verwarren</w:t>
      </w:r>
      <w:r>
        <w:rPr>
          <w:rFonts w:ascii="Calibri" w:cs="Calibri" w:eastAsia="Calibri" w:hAnsi="Calibri"/>
          <w:b w:val="false"/>
          <w:bCs w:val="false"/>
          <w:i w:val="false"/>
          <w:iCs w:val="false"/>
          <w:color w:val="1A1A1A"/>
          <w:sz w:val="21"/>
          <w:szCs w:val="21"/>
        </w:rPr>
        <w:t xml:space="preserve"> (deel 11) — een compromisinstelling is geen parametrisering.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Influence en realization</w:t>
      </w:r>
      <w:r>
        <w:rPr>
          <w:rFonts w:ascii="Calibri" w:cs="Calibri" w:eastAsia="Calibri" w:hAnsi="Calibri"/>
          <w:b w:val="false"/>
          <w:bCs w:val="false"/>
          <w:i w:val="false"/>
          <w:iCs w:val="false"/>
          <w:color w:val="1A1A1A"/>
          <w:sz w:val="21"/>
          <w:szCs w:val="21"/>
        </w:rPr>
        <w:t xml:space="preserve"> (deel 13) — de belangrijkste nieuwe valkuil van niveau 2, net zo zwaar als compositie/aggregatie in niveau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PSA-toetsing met samenhangtoets verwarren</w:t>
      </w:r>
      <w:r>
        <w:rPr>
          <w:rFonts w:ascii="Calibri" w:cs="Calibri" w:eastAsia="Calibri" w:hAnsi="Calibri"/>
          <w:b w:val="false"/>
          <w:bCs w:val="false"/>
          <w:i w:val="false"/>
          <w:iCs w:val="false"/>
          <w:color w:val="1A1A1A"/>
          <w:sz w:val="21"/>
          <w:szCs w:val="21"/>
        </w:rPr>
        <w:t xml:space="preserve"> (deel 15) — twee verschillende vragen, twee verschillende publieken.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Orkestratie als enige juiste antwoord zien</w:t>
      </w:r>
      <w:r>
        <w:rPr>
          <w:rFonts w:ascii="Calibri" w:cs="Calibri" w:eastAsia="Calibri" w:hAnsi="Calibri"/>
          <w:b w:val="false"/>
          <w:bCs w:val="false"/>
          <w:i w:val="false"/>
          <w:iCs w:val="false"/>
          <w:color w:val="1A1A1A"/>
          <w:sz w:val="21"/>
          <w:szCs w:val="21"/>
        </w:rPr>
        <w:t xml:space="preserve"> (deel 16) — de context bepaalt, niet een dogma.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Patroon met referentiearchitectuur verwarren</w:t>
      </w:r>
      <w:r>
        <w:rPr>
          <w:rFonts w:ascii="Calibri" w:cs="Calibri" w:eastAsia="Calibri" w:hAnsi="Calibri"/>
          <w:b w:val="false"/>
          <w:bCs w:val="false"/>
          <w:i w:val="false"/>
          <w:iCs w:val="false"/>
          <w:color w:val="1A1A1A"/>
          <w:sz w:val="21"/>
          <w:szCs w:val="21"/>
        </w:rPr>
        <w:t xml:space="preserve"> (deel 18) — abstract versus organisatiespecifiek.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Gremium met board verwarren</w:t>
      </w:r>
      <w:r>
        <w:rPr>
          <w:rFonts w:ascii="Calibri" w:cs="Calibri" w:eastAsia="Calibri" w:hAnsi="Calibri"/>
          <w:b w:val="false"/>
          <w:bCs w:val="false"/>
          <w:i w:val="false"/>
          <w:iCs w:val="false"/>
          <w:color w:val="1A1A1A"/>
          <w:sz w:val="21"/>
          <w:szCs w:val="21"/>
        </w:rPr>
        <w:t xml:space="preserve"> (deel 21) — het onderscheidende criterium is of de kwestie programmagrenzen overschrijdt.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Van twaalf delen naar één portfoliobeoordeling</w:t>
      </w:r>
    </w:p>
    <w:p>
      <w:pPr>
        <w:spacing w:after="160" w:line="300"/>
        <w:jc w:val="left"/>
      </w:pPr>
      <w:r>
        <w:rPr>
          <w:rFonts w:ascii="Calibri" w:cs="Calibri" w:eastAsia="Calibri" w:hAnsi="Calibri"/>
          <w:b w:val="false"/>
          <w:bCs w:val="false"/>
          <w:i w:val="false"/>
          <w:iCs w:val="false"/>
          <w:color w:val="1A1A1A"/>
          <w:sz w:val="21"/>
          <w:szCs w:val="21"/>
        </w:rPr>
        <w:t xml:space="preserve">Uw programmadossier bevat inmiddels: de iteratiestrategie (deel 11), de drie BIZBOK-views (deel 12), de traceerketen (deel 13), de vijf stuurgroep-views (deel 14), de PSA (deel 15), het datamodel en de integratiekeuze (deel 16), de roadmap (deel 17), de patroonbibliotheek (deel 18), het lichte governancemodel (deel 19), en de volledige governance-architectuur (deel 21).</w:t>
      </w:r>
    </w:p>
    <w:p>
      <w:pPr>
        <w:spacing w:after="160" w:line="300"/>
        <w:jc w:val="left"/>
      </w:pPr>
      <w:r>
        <w:rPr>
          <w:rFonts w:ascii="Calibri" w:cs="Calibri" w:eastAsia="Calibri" w:hAnsi="Calibri"/>
          <w:b w:val="false"/>
          <w:bCs w:val="false"/>
          <w:i w:val="false"/>
          <w:iCs w:val="false"/>
          <w:color w:val="1A1A1A"/>
          <w:sz w:val="21"/>
          <w:szCs w:val="21"/>
        </w:rPr>
        <w:t xml:space="preserve">De portfoliobeoordeling volgt dezelfde structuur als niveau 1's capstone (deel 10, §4.2), opgeschaald: opening met het programmaprobleem, de overzichtsplaat (nu op programmaniveau — deel 14's Introductory view), het advies (doorgaan, bijsturen, of stoppen — met de roadmap als onderbouwing), en een vragenronde vanuit een bredere rolverdeling: naast de programmastuurgroep nu ook een vertegenwoordiger van een ander programma (die de patroonbibliotheek wil hergebruiken) en een Architecture Board-lid (die de governance-samenhang toetst).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Practitioner en Part 2 toetsen toepassing op complexere, meerlaagse scenario's; de vorm blijft meerkeuze, het scenario weegt zwaarder.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Zeven examenvalkuilen dekken de belangrijkste verwarpunten van niveau 2 — influence/realization is de zwaarste, vergelijkbaar met compositie/aggregatie in niveau 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portfoliobeoordeling schaalt de capstone-structuur van niveau 1 op: overzichtsplaat eerst, advies met trade-offs, een bredere vragenronde die de volle breedte van het programmadossier aanspreekt.</w:t>
      </w: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 officiële voorbeeldexamens OGEA-102 en ArchiMate Part 2</w:t>
      </w:r>
    </w:p>
    <w:p>
      <w:pPr>
        <w:spacing w:before="300"/>
      </w:pPr>
      <w:r>
        <w:rPr>
          <w:rFonts w:ascii="Calibri" w:cs="Calibri" w:eastAsia="Calibri" w:hAnsi="Calibri"/>
          <w:i/>
          <w:iCs/>
          <w:color w:val="6B7280"/>
          <w:sz w:val="20"/>
          <w:szCs w:val="20"/>
        </w:rPr>
        <w:t xml:space="preserve">Niveau 2 is hiermee compleet. Niveau 3 begint bij deel 23: de casus Stelselovergang/Wtp, en de Open CA-voorbereiding.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2026-08-17T11:48:24.537Z</dcterms:created>
  <dcterms:modified xsi:type="dcterms:W3CDTF">2026-08-17T11:48:24.538Z</dcterms:modified>
</cp:coreProperties>
</file>

<file path=docProps/custom.xml><?xml version="1.0" encoding="utf-8"?>
<Properties xmlns="http://schemas.openxmlformats.org/officeDocument/2006/custom-properties" xmlns:vt="http://schemas.openxmlformats.org/officeDocument/2006/docPropsVTypes"/>
</file>