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24</w:t>
      </w:r>
    </w:p>
    <w:p>
      <w:pPr>
        <w:spacing w:after="300"/>
      </w:pPr>
      <w:r>
        <w:rPr>
          <w:rFonts w:ascii="Calibri" w:cs="Calibri" w:eastAsia="Calibri" w:hAnsi="Calibri"/>
          <w:b/>
          <w:bCs/>
          <w:color w:val="14213D"/>
          <w:sz w:val="34"/>
          <w:szCs w:val="34"/>
        </w:rPr>
        <w:t xml:space="preserve">Werkboek — Strategie-executie op bestuursniveau</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24, uw evidence-portfolio (deel 23).</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Experience Profile #2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"Zou dit profile een board overtuigen, of vraagt het om meer bewijs van eigen aandeel?"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Vertalen naar bestuurstaal (25 min, tweetallen)</w:t>
      </w:r>
    </w:p>
    <w:p>
      <w:pPr>
        <w:spacing w:after="160" w:line="300"/>
        <w:jc w:val="left"/>
      </w:pPr>
      <w:r>
        <w:rPr>
          <w:rFonts w:ascii="Calibri" w:cs="Calibri" w:eastAsia="Calibri" w:hAnsi="Calibri"/>
          <w:b w:val="false"/>
          <w:bCs w:val="false"/>
          <w:i w:val="false"/>
          <w:iCs w:val="false"/>
          <w:color w:val="1A1A1A"/>
          <w:sz w:val="21"/>
          <w:szCs w:val="21"/>
        </w:rPr>
        <w:t xml:space="preserve">Vertaal elk van de volgende architectonische feiten naar een bestuurlijke zin (wat betekent dit voor het besluit dat het bestuur moet nemen):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"Twaalf procent van de dossiers heeft een afwijkende historieregistratie."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koppeling met het externe waardeoverdrachtsregister heeft een testdekking van zestig procent."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transitieplan-document mist nog de definitieve versie van hoofdstuk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"Twee van de vijf mutatiedomeinen zijn nog niet volledig aangesloten op het nieuwe stelsel."</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wat is het verschil tussen een vertaling die het bestuur informeert en een vertaling die het bestuur alarmeert zonder aanleiding?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Operationeel of bestuurlijk? (25 min, drietallen)</w:t>
      </w:r>
    </w:p>
    <w:p>
      <w:pPr>
        <w:spacing w:after="160" w:line="300"/>
        <w:jc w:val="left"/>
      </w:pPr>
      <w:r>
        <w:rPr>
          <w:rFonts w:ascii="Calibri" w:cs="Calibri" w:eastAsia="Calibri" w:hAnsi="Calibri"/>
          <w:b w:val="false"/>
          <w:bCs w:val="false"/>
          <w:i w:val="false"/>
          <w:iCs w:val="false"/>
          <w:color w:val="1A1A1A"/>
          <w:sz w:val="21"/>
          <w:szCs w:val="21"/>
        </w:rPr>
        <w:t xml:space="preserve">Classificeer elk risico als operationeel (blijft bij programma/Board) of bestuurlijk (moet naar boven):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team kiest een andere testtool dan de standaard.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Er is twijfel of de deadline van 1 januari 2028 gehaald wordt.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leverancier levert twee weken later dan gepland.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datakwaliteitsprobleem betekent dat een deel van de deelnemers mogelijk verkeerd wordt ingevaren.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Twee architecten zijn het oneens over een technische standaard.</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wat is het gemeenschappelijke kenmerk van de risico's die u als "bestuurlijk" classificeerde?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Experience Profile op bestuursniveau schrijven (35 min, individueel)</w:t>
      </w:r>
    </w:p>
    <w:p>
      <w:pPr>
        <w:spacing w:after="160" w:line="300"/>
        <w:jc w:val="left"/>
      </w:pPr>
      <w:r>
        <w:rPr>
          <w:rFonts w:ascii="Calibri" w:cs="Calibri" w:eastAsia="Calibri" w:hAnsi="Calibri"/>
          <w:b w:val="false"/>
          <w:bCs w:val="false"/>
          <w:i w:val="false"/>
          <w:iCs w:val="false"/>
          <w:color w:val="1A1A1A"/>
          <w:sz w:val="21"/>
          <w:szCs w:val="21"/>
        </w:rPr>
        <w:t xml:space="preserve">Schrijf een Experience Profile (structuur uit deel 23) over een bestuurlijk-geladen beslissing — gebruik de casus uit de reader (§1, §4) als basis, of een vergelijkbare situatie uit uw eigen ervaring.</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welk deel van uw profile moest u het zorgvuldigst formuleren omdat het de aansprakelijkheidsdimensie raakte?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Rollenspel: het bestuursgesprek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Eén deelnemer speelt de architect, één het bestuur (rolkaart: wil een eenduidig ja/nee, is ongeduldig), één observeert.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architect presenteert het gefaseerde zekerheidsplan uit de reader (§4) en moet de druk voor een eenduidig antwoord weerstaan zonder het bestuur te frustreren.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bCs/>
          <w:i w:val="false"/>
          <w:iCs w:val="false"/>
          <w:color w:val="1A1A1A"/>
          <w:sz w:val="21"/>
          <w:szCs w:val="21"/>
        </w:rPr>
        <w:t xml:space="preserve">Verantwoording (observant):</w:t>
      </w:r>
      <w:r>
        <w:rPr>
          <w:rFonts w:ascii="Calibri" w:cs="Calibri" w:eastAsia="Calibri" w:hAnsi="Calibri"/>
          <w:b w:val="false"/>
          <w:bCs w:val="false"/>
          <w:i w:val="false"/>
          <w:iCs w:val="false"/>
          <w:color w:val="1A1A1A"/>
          <w:sz w:val="21"/>
          <w:szCs w:val="21"/>
        </w:rPr>
        <w:t xml:space="preserve"> op welk moment probeerde het bestuur het gefaseerde antwoord te forceren tot een simpel ja/nee, en hoe reageerde de architect?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Experience Profile #3 (schriftelijk, inleveren vóór deel 25)</w:t>
      </w:r>
    </w:p>
    <w:p>
      <w:pPr>
        <w:spacing w:after="160" w:line="300"/>
        <w:jc w:val="left"/>
      </w:pPr>
      <w:r>
        <w:rPr>
          <w:rFonts w:ascii="Calibri" w:cs="Calibri" w:eastAsia="Calibri" w:hAnsi="Calibri"/>
          <w:b w:val="false"/>
          <w:bCs w:val="false"/>
          <w:i w:val="false"/>
          <w:iCs w:val="false"/>
          <w:color w:val="1A1A1A"/>
          <w:sz w:val="21"/>
          <w:szCs w:val="21"/>
        </w:rPr>
        <w:t xml:space="preserve">Schrijf een derde profile, ditmaal expliciet op bestuurs- of directieniveau (aansprakelijkheid, reputatie, of een onomkeerbare keuze als achtergrond). Deel 25 opent met peer feedback.</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Modelvertalingen: 1 → "twaalf procent van de deelnemers kunnen wij nu niet correct invaren garanderen — u moet beslissen: accepteren, herstellen, of uitstellen"; 2 → "veertig procent van de waardeoverdrachtkoppeling is nog niet getest — bij een storing daar weten wij nu niet zeker wat er misgaat"; 3 → "het transitieplan is nog niet compleet voor indiening bij DNB — dit raakt de wettelijke deadline voor indiening"; 4 → "twee van de vijf mutatiedomeinen lopen risico niet op tijd klaar te zijn — dit beïnvloedt of de volledige transitie op 1 januari 2028 haalbaar is."</w:t>
      </w:r>
    </w:p>
    <w:p>
      <w:pPr>
        <w:spacing w:after="160" w:line="300"/>
        <w:jc w:val="left"/>
      </w:pPr>
      <w:r>
        <w:rPr>
          <w:rFonts w:ascii="Calibri" w:cs="Calibri" w:eastAsia="Calibri" w:hAnsi="Calibri"/>
          <w:b w:val="false"/>
          <w:bCs w:val="false"/>
          <w:i w:val="false"/>
          <w:iCs w:val="false"/>
          <w:color w:val="1A1A1A"/>
          <w:sz w:val="21"/>
          <w:szCs w:val="21"/>
        </w:rPr>
        <w:t xml:space="preserve">Verantwoording: een informerende vertaling koppelt het feit aan een concreet besluit dat het bestuur kan nemen (met opties); een alarmerende vertaling zonder aanleiding presenteert het feit als ramp zonder handelingsperspectief — het verschil tussen "u moet hierover beslissen" en "dit gaat fout".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Operationeel: 1, 3, 5. Bestuurlijk: 2, 4.</w:t>
      </w:r>
    </w:p>
    <w:p>
      <w:pPr>
        <w:spacing w:after="160" w:line="300"/>
        <w:jc w:val="left"/>
      </w:pPr>
      <w:r>
        <w:rPr>
          <w:rFonts w:ascii="Calibri" w:cs="Calibri" w:eastAsia="Calibri" w:hAnsi="Calibri"/>
          <w:b w:val="false"/>
          <w:bCs w:val="false"/>
          <w:i w:val="false"/>
          <w:iCs w:val="false"/>
          <w:color w:val="1A1A1A"/>
          <w:sz w:val="21"/>
          <w:szCs w:val="21"/>
        </w:rPr>
        <w:t xml:space="preserve">Verantwoording: de bestuurlijke risico's raken allebei de haalbaarheid van de wettelijke deadline of de juistheid van het invaren zelf — zaken waarover het bestuur wettelijk en persoonlijk verantwoording aflegt bij DNB/AFM. De operationele risico's zijn oplosbaar binnen het programma zonder dat de kern van de transitie in gevaar komt.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Modeluitwerkingen zijn persoonlijk; sterk werk erkent expliciet de aansprakelijkheidsdimensie zonder overdreven dramatisch te worden, en biedt het bestuur een concreet handelingsperspectief (het gefaseerde plan), niet alleen een probleem.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Observatiepunten: probeert het bestuur (rolspeler) meerdere keren een direct ja/nee te forceren? Houdt de architect stand zonder het bestuur af te wimpelen — door elke keer terug te grijpen naar wat het gefaseerde plan wél biedt (een eerlijker, groeiend beeld)? Eindigt het gesprek met het bestuur dat begrijpt waaróm een voorbarig antwoord riskanter is dan onzekerheid nu?</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5 (peer feedback in deel 25)</w:t>
      </w:r>
    </w:p>
    <w:p>
      <w:pPr>
        <w:spacing w:after="160" w:line="300"/>
        <w:jc w:val="left"/>
      </w:pPr>
      <w:r>
        <w:rPr>
          <w:rFonts w:ascii="Calibri" w:cs="Calibri" w:eastAsia="Calibri" w:hAnsi="Calibri"/>
          <w:b w:val="false"/>
          <w:bCs w:val="false"/>
          <w:i w:val="false"/>
          <w:iCs w:val="false"/>
          <w:color w:val="1A1A1A"/>
          <w:sz w:val="21"/>
          <w:szCs w:val="21"/>
        </w:rPr>
        <w:t xml:space="preserve">Sterk: de aansprakelijkheidsdimensie is aanwezig zonder overdreven; het gefaseerde-antwoord-patroon (of een vergelijkbare eerlijke tussenoplossing) is zichtbaar in de beslissing. Zwak: een profile dat eigenlijk operationeel is maar kunstmatig "bestuurlijk" wordt genoemd zonder echte aansprakelijkheidsdimensie.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24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2026-08-17T11:48:29.725Z</dcterms:created>
  <dcterms:modified xsi:type="dcterms:W3CDTF">2026-08-17T11:48:29.727Z</dcterms:modified>
</cp:coreProperties>
</file>

<file path=docProps/custom.xml><?xml version="1.0" encoding="utf-8"?>
<Properties xmlns="http://schemas.openxmlformats.org/officeDocument/2006/custom-properties" xmlns:vt="http://schemas.openxmlformats.org/officeDocument/2006/docPropsVTypes"/>
</file>