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3 — Deel 26</w:t>
      </w:r>
    </w:p>
    <w:p>
      <w:pPr>
        <w:spacing w:after="300"/>
      </w:pPr>
      <w:r>
        <w:rPr>
          <w:rFonts w:ascii="Calibri" w:cs="Calibri" w:eastAsia="Calibri" w:hAnsi="Calibri"/>
          <w:b/>
          <w:bCs/>
          <w:color w:val="14213D"/>
          <w:sz w:val="40"/>
          <w:szCs w:val="40"/>
        </w:rPr>
        <w:t xml:space="preserve">Portfolio- en investeringsbeslissingen: verdedigbaar stoppen</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Dit deel behandelt een competentie die tot nu toe in de cursus impliciet bleef: niet alleen adviseren om door te gaan (met mitigaties), maar overtuigend adviseren om te stoppen. Op het niveau van de Wtp-transitie, met een vaste deadline en een eindig budget, is dat vermogen net zo architectonisch als elk ontwerp.</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portfolio van initiatieven prioriteren op basis van bijdrage aan de transitiedoelstelling, niet op basis van voortgang of sunk cost;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verdedigbaar stopadvies formuleren en presenteren, inclusief het weerstaan van de sunk-cost-drang;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datakwaliteit voor invaren beoordelen langs concrete, meetbare dimensies en het risico daarvan naar het bestuur vertalen (deel 24);</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Experience Profile schrijven over een stopbeslissing — een van de moeilijkste, best onderscheidende profieltypen voor het board.</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te veel initiatieven, één deadline</w:t>
      </w:r>
    </w:p>
    <w:p>
      <w:pPr>
        <w:spacing w:after="160" w:line="300"/>
        <w:jc w:val="left"/>
      </w:pPr>
      <w:r>
        <w:rPr>
          <w:rFonts w:ascii="Calibri" w:cs="Calibri" w:eastAsia="Calibri" w:hAnsi="Calibri"/>
          <w:b w:val="false"/>
          <w:bCs w:val="false"/>
          <w:i w:val="false"/>
          <w:iCs w:val="false"/>
          <w:color w:val="1A1A1A"/>
          <w:sz w:val="21"/>
          <w:szCs w:val="21"/>
        </w:rPr>
        <w:t xml:space="preserve">Het Programma Stelselovergang telt op dit punt veertien deelinitiatieven — van datakwaliteitsverbetering tot een nieuw deelnemersportaal-onderdeel dat "toch mooi zou zijn nu we er toch mee bezig zijn". Het budget en de capaciteit zijn niet toereikend voor alle veertien binnen de deadline. De programmadirecteur vraagt de architectuurfunctie: </w:t>
      </w:r>
      <w:r>
        <w:rPr>
          <w:rFonts w:ascii="Calibri" w:cs="Calibri" w:eastAsia="Calibri" w:hAnsi="Calibri"/>
          <w:b w:val="false"/>
          <w:bCs w:val="false"/>
          <w:i/>
          <w:iCs/>
          <w:color w:val="1A1A1A"/>
          <w:sz w:val="21"/>
          <w:szCs w:val="21"/>
        </w:rPr>
        <w:t xml:space="preserve">"Welke drie zetten wij stop, en waarom kunnen we daar bij het bestuur voor instaan?"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Prioriteren op bijdrage, niet op voortgang</w:t>
      </w:r>
    </w:p>
    <w:p>
      <w:pPr>
        <w:spacing w:after="160" w:line="300"/>
        <w:jc w:val="left"/>
      </w:pPr>
      <w:r>
        <w:rPr>
          <w:rFonts w:ascii="Calibri" w:cs="Calibri" w:eastAsia="Calibri" w:hAnsi="Calibri"/>
          <w:b w:val="false"/>
          <w:bCs w:val="false"/>
          <w:i w:val="false"/>
          <w:iCs w:val="false"/>
          <w:color w:val="1A1A1A"/>
          <w:sz w:val="21"/>
          <w:szCs w:val="21"/>
        </w:rPr>
        <w:t xml:space="preserve">De klassieke valkuil bij portfolioprioritering is </w:t>
      </w:r>
      <w:r>
        <w:rPr>
          <w:rFonts w:ascii="Calibri" w:cs="Calibri" w:eastAsia="Calibri" w:hAnsi="Calibri"/>
          <w:b/>
          <w:bCs/>
          <w:i w:val="false"/>
          <w:iCs w:val="false"/>
          <w:color w:val="1A1A1A"/>
          <w:sz w:val="21"/>
          <w:szCs w:val="21"/>
        </w:rPr>
        <w:t xml:space="preserve">sunk cost</w:t>
      </w:r>
      <w:r>
        <w:rPr>
          <w:rFonts w:ascii="Calibri" w:cs="Calibri" w:eastAsia="Calibri" w:hAnsi="Calibri"/>
          <w:b w:val="false"/>
          <w:bCs w:val="false"/>
          <w:i w:val="false"/>
          <w:iCs w:val="false"/>
          <w:color w:val="1A1A1A"/>
          <w:sz w:val="21"/>
          <w:szCs w:val="21"/>
        </w:rPr>
        <w:t xml:space="preserve">: een initiatief dat al veel geïnvesteerd heeft, voelt zwaarder om te stoppen dan een initiatief dat nog weinig kostte — ook als de toekomstige bijdrage van het eerste kleiner is. Architectonisch prioriteren negeert de reeds gemaakte kosten en kijkt uitsluitend naar: </w:t>
      </w:r>
      <w:r>
        <w:rPr>
          <w:rFonts w:ascii="Calibri" w:cs="Calibri" w:eastAsia="Calibri" w:hAnsi="Calibri"/>
          <w:b/>
          <w:bCs/>
          <w:i w:val="false"/>
          <w:iCs w:val="false"/>
          <w:color w:val="1A1A1A"/>
          <w:sz w:val="21"/>
          <w:szCs w:val="21"/>
        </w:rPr>
        <w:t xml:space="preserve">draagt dit initiatief bij aan de transitiedoelstelling</w:t>
      </w:r>
      <w:r>
        <w:rPr>
          <w:rFonts w:ascii="Calibri" w:cs="Calibri" w:eastAsia="Calibri" w:hAnsi="Calibri"/>
          <w:b w:val="false"/>
          <w:bCs w:val="false"/>
          <w:i w:val="false"/>
          <w:iCs w:val="false"/>
          <w:color w:val="1A1A1A"/>
          <w:sz w:val="21"/>
          <w:szCs w:val="21"/>
        </w:rPr>
        <w:t xml:space="preserve"> (verantwoord invaren, op tijd, deel 25's strategiekaart), </w:t>
      </w:r>
      <w:r>
        <w:rPr>
          <w:rFonts w:ascii="Calibri" w:cs="Calibri" w:eastAsia="Calibri" w:hAnsi="Calibri"/>
          <w:b/>
          <w:bCs/>
          <w:i w:val="false"/>
          <w:iCs w:val="false"/>
          <w:color w:val="1A1A1A"/>
          <w:sz w:val="21"/>
          <w:szCs w:val="21"/>
        </w:rPr>
        <w:t xml:space="preserve">is het kritiek pad of vervangbaar</w:t>
      </w:r>
      <w:r>
        <w:rPr>
          <w:rFonts w:ascii="Calibri" w:cs="Calibri" w:eastAsia="Calibri" w:hAnsi="Calibri"/>
          <w:b w:val="false"/>
          <w:bCs w:val="false"/>
          <w:i w:val="false"/>
          <w:iCs w:val="false"/>
          <w:color w:val="1A1A1A"/>
          <w:sz w:val="21"/>
          <w:szCs w:val="21"/>
        </w:rPr>
        <w:t xml:space="preserve">, en </w:t>
      </w:r>
      <w:r>
        <w:rPr>
          <w:rFonts w:ascii="Calibri" w:cs="Calibri" w:eastAsia="Calibri" w:hAnsi="Calibri"/>
          <w:b/>
          <w:bCs/>
          <w:i w:val="false"/>
          <w:iCs w:val="false"/>
          <w:color w:val="1A1A1A"/>
          <w:sz w:val="21"/>
          <w:szCs w:val="21"/>
        </w:rPr>
        <w:t xml:space="preserve">wat is de kans dat het op tijd klaar is</w:t>
      </w:r>
      <w:r>
        <w:rPr>
          <w:rFonts w:ascii="Calibri" w:cs="Calibri" w:eastAsia="Calibri" w:hAnsi="Calibri"/>
          <w:b w:val="false"/>
          <w:bCs w:val="false"/>
          <w:i w:val="false"/>
          <w:iCs w:val="false"/>
          <w:color w:val="1A1A1A"/>
          <w:sz w:val="21"/>
          <w:szCs w:val="21"/>
        </w:rPr>
        <w:t xml:space="preserve">.</w:t>
      </w:r>
    </w:p>
    <w:p>
      <w:pPr>
        <w:spacing w:after="160" w:line="300"/>
        <w:jc w:val="left"/>
      </w:pPr>
      <w:r>
        <w:rPr>
          <w:rFonts w:ascii="Calibri" w:cs="Calibri" w:eastAsia="Calibri" w:hAnsi="Calibri"/>
          <w:b w:val="false"/>
          <w:bCs w:val="false"/>
          <w:i w:val="false"/>
          <w:iCs w:val="false"/>
          <w:color w:val="1A1A1A"/>
          <w:sz w:val="21"/>
          <w:szCs w:val="21"/>
        </w:rPr>
        <w:t xml:space="preserve">Voor de veertien initiatieven: het deelnemersportaal-onderdeel draagt niet bij aan invaren zelf (het is een "toch mooi"-initiatief, geen strategiekaart-gedreven vermogen) — een sterke stopkandidaat, ongeacht hoeveel er al in is geïnvesteerd. Een datakwaliteitsinitiatief dat traag verloopt maar rechtstreeks aan het kernrisico (invaren) bijdraagt, blijft juist overeind, zelfs als het pijnlijk weinig voortgang toont.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Verdedigbaar stoppen: de anatomie</w:t>
      </w:r>
    </w:p>
    <w:p>
      <w:pPr>
        <w:spacing w:after="160" w:line="300"/>
        <w:jc w:val="left"/>
      </w:pPr>
      <w:r>
        <w:rPr>
          <w:rFonts w:ascii="Calibri" w:cs="Calibri" w:eastAsia="Calibri" w:hAnsi="Calibri"/>
          <w:b w:val="false"/>
          <w:bCs w:val="false"/>
          <w:i w:val="false"/>
          <w:iCs w:val="false"/>
          <w:color w:val="1A1A1A"/>
          <w:sz w:val="21"/>
          <w:szCs w:val="21"/>
        </w:rPr>
        <w:t xml:space="preserve">Een stopadvies dat standhoudt bij het bestuur bevat vier elementen: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bijdrage die wegvalt</w:t>
      </w:r>
      <w:r>
        <w:rPr>
          <w:rFonts w:ascii="Calibri" w:cs="Calibri" w:eastAsia="Calibri" w:hAnsi="Calibri"/>
          <w:b w:val="false"/>
          <w:bCs w:val="false"/>
          <w:i w:val="false"/>
          <w:iCs w:val="false"/>
          <w:color w:val="1A1A1A"/>
          <w:sz w:val="21"/>
          <w:szCs w:val="21"/>
        </w:rPr>
        <w:t xml:space="preserve">, eerlijk benoemd — nooit doen alsof het initiatief nutteloos was.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Waarom die bijdrage nu minder weegt</w:t>
      </w:r>
      <w:r>
        <w:rPr>
          <w:rFonts w:ascii="Calibri" w:cs="Calibri" w:eastAsia="Calibri" w:hAnsi="Calibri"/>
          <w:b w:val="false"/>
          <w:bCs w:val="false"/>
          <w:i w:val="false"/>
          <w:iCs w:val="false"/>
          <w:color w:val="1A1A1A"/>
          <w:sz w:val="21"/>
          <w:szCs w:val="21"/>
        </w:rPr>
        <w:t xml:space="preserve"> dan de capaciteit die vrijkomt voor iets anders — het is een relatieve, geen absolute afwijzing.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Wat er met het reeds gedane werk gebeurt</w:t>
      </w:r>
      <w:r>
        <w:rPr>
          <w:rFonts w:ascii="Calibri" w:cs="Calibri" w:eastAsia="Calibri" w:hAnsi="Calibri"/>
          <w:b w:val="false"/>
          <w:bCs w:val="false"/>
          <w:i w:val="false"/>
          <w:iCs w:val="false"/>
          <w:color w:val="1A1A1A"/>
          <w:sz w:val="21"/>
          <w:szCs w:val="21"/>
        </w:rPr>
        <w:t xml:space="preserve"> — weggegooid, gearchiveerd voor later, of gedeeltelijk hergebruikt (rationalisatie, niveau 1 deel 6: functionaliteit scheiden van drager, ook hier van toepassing).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Wie het besluit draagt</w:t>
      </w:r>
      <w:r>
        <w:rPr>
          <w:rFonts w:ascii="Calibri" w:cs="Calibri" w:eastAsia="Calibri" w:hAnsi="Calibri"/>
          <w:b w:val="false"/>
          <w:bCs w:val="false"/>
          <w:i w:val="false"/>
          <w:iCs w:val="false"/>
          <w:color w:val="1A1A1A"/>
          <w:sz w:val="21"/>
          <w:szCs w:val="21"/>
        </w:rPr>
        <w:t xml:space="preserve"> — het advies wordt gegeven, het besluit blijft bij de opdrachtgever (niveau 1, deel 1, §5.2, voor de zoveelste en zwaarste keer).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Waarom stoppen moeilijker is dan starten.</w:t>
            </w:r>
            <w:r>
              <w:rPr>
                <w:rFonts w:ascii="Calibri" w:cs="Calibri" w:eastAsia="Calibri" w:hAnsi="Calibri"/>
                <w:b w:val="false"/>
                <w:bCs w:val="false"/>
                <w:i/>
                <w:iCs/>
                <w:color w:val="14213D"/>
                <w:sz w:val="20"/>
                <w:szCs w:val="20"/>
              </w:rPr>
              <w:t xml:space="preserve"> Een startadvies wordt zelden persoonlijk gevoeld door wie het ontvangt; een stopadvies raakt vaak het werk en de identificatie van een team dat er al maanden aan werkt. De architectonische vaardigheid is niet alleen het juiste stopadvies vinden, maar het zo brengen dat het team zich niet afgewezen voelt — de bijdrage die wegvalt eerlijk erkennen (punt 1) is hier het instrument.</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Datakwaliteit voor invaren: de kernrisico-dimensies</w:t>
      </w:r>
    </w:p>
    <w:p>
      <w:pPr>
        <w:spacing w:after="160" w:line="300"/>
        <w:jc w:val="left"/>
      </w:pPr>
      <w:r>
        <w:rPr>
          <w:rFonts w:ascii="Calibri" w:cs="Calibri" w:eastAsia="Calibri" w:hAnsi="Calibri"/>
          <w:b w:val="false"/>
          <w:bCs w:val="false"/>
          <w:i w:val="false"/>
          <w:iCs w:val="false"/>
          <w:color w:val="1A1A1A"/>
          <w:sz w:val="21"/>
          <w:szCs w:val="21"/>
        </w:rPr>
        <w:t xml:space="preserve">Het centrale architectuurrisico van de hele transitie (deel 23, §1) verdient een precieze, meetbare uitwerking — niet "de datakwaliteit moet omhoog" (niveau 1, deel 5's verzuchtingspatroon, hier op het zwaarste dossier van de cursus):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Volledigheid:</w:t>
      </w:r>
      <w:r>
        <w:rPr>
          <w:rFonts w:ascii="Calibri" w:cs="Calibri" w:eastAsia="Calibri" w:hAnsi="Calibri"/>
          <w:b w:val="false"/>
          <w:bCs w:val="false"/>
          <w:i w:val="false"/>
          <w:iCs w:val="false"/>
          <w:color w:val="1A1A1A"/>
          <w:sz w:val="21"/>
          <w:szCs w:val="21"/>
        </w:rPr>
        <w:t xml:space="preserve"> ontbreken er dossiers of velden die voor de rechtenberekening noodzakelijk zijn?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Juistheid:</w:t>
      </w:r>
      <w:r>
        <w:rPr>
          <w:rFonts w:ascii="Calibri" w:cs="Calibri" w:eastAsia="Calibri" w:hAnsi="Calibri"/>
          <w:b w:val="false"/>
          <w:bCs w:val="false"/>
          <w:i w:val="false"/>
          <w:iCs w:val="false"/>
          <w:color w:val="1A1A1A"/>
          <w:sz w:val="21"/>
          <w:szCs w:val="21"/>
        </w:rPr>
        <w:t xml:space="preserve"> komen geregistreerde waarden overeen met de werkelijke, historisch correcte situatie?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Consistentie:</w:t>
      </w:r>
      <w:r>
        <w:rPr>
          <w:rFonts w:ascii="Calibri" w:cs="Calibri" w:eastAsia="Calibri" w:hAnsi="Calibri"/>
          <w:b w:val="false"/>
          <w:bCs w:val="false"/>
          <w:i w:val="false"/>
          <w:iCs w:val="false"/>
          <w:color w:val="1A1A1A"/>
          <w:sz w:val="21"/>
          <w:szCs w:val="21"/>
        </w:rPr>
        <w:t xml:space="preserve"> spreken verschillende bronnen (het huidige stelsel, historische archieven) elkaar tegen?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Traceerbaarheid:</w:t>
      </w:r>
      <w:r>
        <w:rPr>
          <w:rFonts w:ascii="Calibri" w:cs="Calibri" w:eastAsia="Calibri" w:hAnsi="Calibri"/>
          <w:b w:val="false"/>
          <w:bCs w:val="false"/>
          <w:i w:val="false"/>
          <w:iCs w:val="false"/>
          <w:color w:val="1A1A1A"/>
          <w:sz w:val="21"/>
          <w:szCs w:val="21"/>
        </w:rPr>
        <w:t xml:space="preserve"> is voor elk ingevaren recht te reconstrueren waaróp het gebaseerd is — essentieel omdat een fout na invaren nauwelijks te herstellen is (reader deel 23, §1)?</w:t>
      </w:r>
    </w:p>
    <w:p>
      <w:pPr>
        <w:spacing w:after="160" w:line="300"/>
        <w:jc w:val="left"/>
      </w:pPr>
      <w:r>
        <w:rPr>
          <w:rFonts w:ascii="Calibri" w:cs="Calibri" w:eastAsia="Calibri" w:hAnsi="Calibri"/>
          <w:b w:val="false"/>
          <w:bCs w:val="false"/>
          <w:i w:val="false"/>
          <w:iCs w:val="false"/>
          <w:color w:val="1A1A1A"/>
          <w:sz w:val="21"/>
          <w:szCs w:val="21"/>
        </w:rPr>
        <w:t xml:space="preserve">Voor elke dimensie geldt: een percentage zonder context ("twaalf procent afwijkend") is minder bruikbaar dan een percentage met </w:t>
      </w:r>
      <w:r>
        <w:rPr>
          <w:rFonts w:ascii="Calibri" w:cs="Calibri" w:eastAsia="Calibri" w:hAnsi="Calibri"/>
          <w:b/>
          <w:bCs/>
          <w:i w:val="false"/>
          <w:iCs w:val="false"/>
          <w:color w:val="1A1A1A"/>
          <w:sz w:val="21"/>
          <w:szCs w:val="21"/>
        </w:rPr>
        <w:t xml:space="preserve">risicoclassificatie</w:t>
      </w:r>
      <w:r>
        <w:rPr>
          <w:rFonts w:ascii="Calibri" w:cs="Calibri" w:eastAsia="Calibri" w:hAnsi="Calibri"/>
          <w:b w:val="false"/>
          <w:bCs w:val="false"/>
          <w:i w:val="false"/>
          <w:iCs w:val="false"/>
          <w:color w:val="1A1A1A"/>
          <w:sz w:val="21"/>
          <w:szCs w:val="21"/>
        </w:rPr>
        <w:t xml:space="preserve"> — een afwijking in traceerbaarheid bij een klein aantal hoogwaardige rechten weegt zwaarder dan eenzelfde percentage bij lage, courante bedragen. Dit is dezelfde risicodenkwijze als het concentratierisico uit niveau 1 (deel 7, §5): niet alleen de omvang telt, ook wat er omvalt.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Portfolioprioritering op transitieniveau kijkt naar toekomstige bijdrage, nooit naar reeds gemaakte kosten (sunk cost).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Verdedigbaar stoppen heeft vier elementen: erkende bijdrage, relatieve afweging, lot van het gedane werk, besluit bij de opdrachtgever.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Stoppen is moeilijker dan starten omdat het identificatie en gevoelde afwijzing raakt — de eerlijke erkenning van de wegvallende bijdrage is het instrument daartegen.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Datakwaliteit voor invaren wordt gemeten langs vier dimensies (volledigheid, juistheid, consistentie, traceerbaarheid), altijd met risicoclassificatie, nooit als kaal percentage.</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Sunk cost</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reeds gemaakte, niet-terugvorderbare kosten die het prioriteringsoordeel niet zouden moeten beïnvloeden</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Verdedigbaar stoppen</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een stopadvies met erkende bijdrage, relatieve afweging, lot van het werk, besluit bij de opdrachtgever</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Risicoclassificatie (datakwaliteit)</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een afwijking wegen naar wat er omvalt, niet alleen naar het percentage</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 Open CA Certification Guide, competentie "Business Transformation Management" (portfoliobeslissingen)</w:t>
      </w:r>
    </w:p>
    <w:p>
      <w:pPr>
        <w:spacing w:before="300"/>
      </w:pPr>
      <w:r>
        <w:rPr>
          <w:rFonts w:ascii="Calibri" w:cs="Calibri" w:eastAsia="Calibri" w:hAnsi="Calibri"/>
          <w:i/>
          <w:iCs/>
          <w:color w:val="6B7280"/>
          <w:sz w:val="20"/>
          <w:szCs w:val="20"/>
        </w:rPr>
        <w:t xml:space="preserve">Volgende deel: professionaliteit en ethiek — de architect zonder mandaat, integriteit richting toezicht.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26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2026-08-17T11:48:35.621Z</dcterms:created>
  <dcterms:modified xsi:type="dcterms:W3CDTF">2026-08-17T11:48:35.623Z</dcterms:modified>
</cp:coreProperties>
</file>

<file path=docProps/custom.xml><?xml version="1.0" encoding="utf-8"?>
<Properties xmlns="http://schemas.openxmlformats.org/officeDocument/2006/custom-properties" xmlns:vt="http://schemas.openxmlformats.org/officeDocument/2006/docPropsVTypes"/>
</file>