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1 — Waarom projecten mislukken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Dagdeel:</w:t>
      </w:r>
      <w:r>
        <w:rPr>
          <w:rFonts w:ascii="Calibri" w:cs="Calibri" w:eastAsia="Calibri" w:hAnsi="Calibri"/>
          <w:sz w:val="22"/>
          <w:szCs w:val="22"/>
        </w:rPr>
        <w:t xml:space="preserve"> 1 (van 10 dagdelen in niveau 1)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uur, inclusief pauze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deelnemers laten voelen waaróm projectmanagement als vak bestaat, voordat er één methode-term valt. Alles in dit deel is herkenbaar uit eigen ervaring — dat is bewust: WGP 2.0 moet als "ja, dát ken ik" landen, niet als abstract lesmateriaal.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Opening, kennismaking, positionering van de hele cursus (drie niveaus, drie certificeringslijnen)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Het WGP 2.0-dossier + zeven bevindingen (reader §1–2)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 + korte discussie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0:40–0:55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1.1 — bevindingen herkennen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klassikale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0:55–1:05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vs. lijnwerk, project/programma/portfolio (reader §3–4)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1:20–1:35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1.2 en 1.3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Individueel/tweetallen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1:35–1:55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Certificeringslandschap (reader §5)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1:55–2:10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Vooruitblik cursus + reflectievraag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Presentatie/afsluiting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Begin met de mislukking, niet met de theorie.</w:t>
      </w:r>
      <w:r>
        <w:rPr>
          <w:rFonts w:ascii="Calibri" w:cs="Calibri" w:eastAsia="Calibri" w:hAnsi="Calibri"/>
          <w:sz w:val="22"/>
          <w:szCs w:val="22"/>
        </w:rPr>
        <w:t xml:space="preserve"> Vertel het WGP 2.0-verhaal als verhaal — met de druk van de eindfase, de stuurgroep die "toch nog een keer akkoord gaf ondanks twijfels" — voordat je de zeven bevindingen als lijst toont. Deelnemers die zelf een vergelijkbare ervaring hebben, herkennen het sneller uit een verhaal dan uit een opsomming.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koppeling "zeven bevindingen = zeven principes" is de kern van dit deel.</w:t>
      </w:r>
      <w:r>
        <w:rPr>
          <w:rFonts w:ascii="Calibri" w:cs="Calibri" w:eastAsia="Calibri" w:hAnsi="Calibri"/>
          <w:sz w:val="22"/>
          <w:szCs w:val="22"/>
        </w:rPr>
        <w:t xml:space="preserve"> Zeg er expliciet bij dat dit geen toeval is, maar leg nog niet uit wélke principe bij welke bevinding hoort — dat komt in deel 2. Hier is het doel dat deelnemers de bevindingen zelf kunnen herkennen en verwoorden, niet dat ze de principes al kennen.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1.2 (project of geen project) is vraag c de instinker.</w:t>
      </w:r>
      <w:r>
        <w:rPr>
          <w:rFonts w:ascii="Calibri" w:cs="Calibri" w:eastAsia="Calibri" w:hAnsi="Calibri"/>
          <w:sz w:val="22"/>
          <w:szCs w:val="22"/>
        </w:rPr>
        <w:t xml:space="preserve"> Een nieuw team inrichten voelt voor veel deelnemers als "een project", omdat het eenmalig werk kost. Laat doorvragen: is het team zelf tijdelijk, of blijft het bestaan? Het inrichten kán een klein project zijn (het opzetten), maar het team dat daaruit ontstaat is lijnwerk. Dit onderscheid — activiteit-met-projectkenmerken versus het permanente resultaat ervan — komt in niveau 2 terug bij de overdracht van programma naar lijnorganisatie (deel 21).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1.3 is het doel niet de "juiste" laag te vinden, maar het onderscheidend criterium hardop te laten benoemen.</w:t>
      </w:r>
      <w:r>
        <w:rPr>
          <w:rFonts w:ascii="Calibri" w:cs="Calibri" w:eastAsia="Calibri" w:hAnsi="Calibri"/>
          <w:sz w:val="22"/>
          <w:szCs w:val="22"/>
        </w:rPr>
        <w:t xml:space="preserve"> Stuur door te vragen: "wat zou er gebeuren als je dit initiatief op het niveau eronder zou aanpakken?" Bij (b) bijvoorbeeld: als je de vijf mutatie-initiatieven als vijf losse projecten aanstuurt zonder programmalaag, wie bewaakt dan dat de doorlooptijd-halvering — die geen van de vijf projecten alleen kan realiseren — daadwerkelijk gehaald wordt?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Het certificeringslandschap (§5) is voor sommige deelnemers puur informatief, voor anderen direct loopbaanrelevant.</w:t>
      </w:r>
      <w:r>
        <w:rPr>
          <w:rFonts w:ascii="Calibri" w:cs="Calibri" w:eastAsia="Calibri" w:hAnsi="Calibri"/>
          <w:sz w:val="22"/>
          <w:szCs w:val="22"/>
        </w:rPr>
        <w:t xml:space="preserve"> Peil aan het begin van de sessie (kort, mondeling) wie al een certificering heeft of overweegt — dat bepaalt hoeveel tijd je aan opdracht 1.4 besteedt.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1.1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 → </w:t>
      </w:r>
      <w:r>
        <w:rPr>
          <w:rFonts w:ascii="Calibri" w:cs="Calibri" w:eastAsia="Calibri" w:hAnsi="Calibri"/>
          <w:sz w:val="22"/>
          <w:szCs w:val="22"/>
        </w:rPr>
        <w:t xml:space="preserve">bevinding 5 (geen toleranties/escalatie): "groen" blijven rapporteren tot twee weken voor de deadline duidt op het ontbreken van een mechanisme om afwijkingen tijdig, kleinschalig te melden.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 → </w:t>
      </w:r>
      <w:r>
        <w:rPr>
          <w:rFonts w:ascii="Calibri" w:cs="Calibri" w:eastAsia="Calibri" w:hAnsi="Calibri"/>
          <w:sz w:val="22"/>
          <w:szCs w:val="22"/>
        </w:rPr>
        <w:t xml:space="preserve">bevinding 7 (geen zicht op baten): niemand meet het beoogde resultaat na oplevering.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 → </w:t>
      </w:r>
      <w:r>
        <w:rPr>
          <w:rFonts w:ascii="Calibri" w:cs="Calibri" w:eastAsia="Calibri" w:hAnsi="Calibri"/>
          <w:sz w:val="22"/>
          <w:szCs w:val="22"/>
        </w:rPr>
        <w:t xml:space="preserve">bevinding 6 (risico's zonder eigenaren): de risico's stonden er, maar zonder eigenaarschap gebeurde er niets mee.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 → </w:t>
      </w:r>
      <w:r>
        <w:rPr>
          <w:rFonts w:ascii="Calibri" w:cs="Calibri" w:eastAsia="Calibri" w:hAnsi="Calibri"/>
          <w:sz w:val="22"/>
          <w:szCs w:val="22"/>
        </w:rPr>
        <w:t xml:space="preserve">bevinding 3 (één grote fase): geen tussentijds beslismoment betekent geen kans om bij te sturen vóór het te laat is.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e → </w:t>
      </w:r>
      <w:r>
        <w:rPr>
          <w:rFonts w:ascii="Calibri" w:cs="Calibri" w:eastAsia="Calibri" w:hAnsi="Calibri"/>
          <w:sz w:val="22"/>
          <w:szCs w:val="22"/>
        </w:rPr>
        <w:t xml:space="preserve">bevinding 1 (geen levende business case): de onderbouwing is nooit herijkt tegen de actuele situatie.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 → </w:t>
      </w:r>
      <w:r>
        <w:rPr>
          <w:rFonts w:ascii="Calibri" w:cs="Calibri" w:eastAsia="Calibri" w:hAnsi="Calibri"/>
          <w:sz w:val="22"/>
          <w:szCs w:val="22"/>
        </w:rPr>
        <w:t xml:space="preserve">bevinding 4/5 grensgeval: dit wijst op de afwezigheid van toleranties — €200 zou normaal binnen de tolerantie van een projectmanager moeten vallen. Beide antwoorden (4 of 5) zijn met argumentatie te verdedigen; laat deelnemers het verschil beargumenteren.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g → </w:t>
      </w:r>
      <w:r>
        <w:rPr>
          <w:rFonts w:ascii="Calibri" w:cs="Calibri" w:eastAsia="Calibri" w:hAnsi="Calibri"/>
          <w:sz w:val="22"/>
          <w:szCs w:val="22"/>
        </w:rPr>
        <w:t xml:space="preserve">bevinding 2 (stuurgroep zonder bevoegdheid): mandaat ontbreekt.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1.2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Geen project: dit is jaarlijks terugkerend, dus niet tijdelijk in de zin van eenmalig, en niet uniek.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Project: tijdelijk, uniek resultaat (nieuw portaal), business case gedreven.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Het inrichten zelf kan een (klein) project zijn; het team dat ontstaat is lijnwerk — geef ruimte voor beide invalshoeken, zie didactische aanwijzing hierboven.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Project: eenmalige migratie met duidelijk eindpunt en resultaat.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1.3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Project — enkelvoudig, afgebakend resultaat.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Programma — de doorlooptijd-halvering is een baat die geen van de vijf projecten alleen realiseert; dat is precies het kenmerk van programmaniveau.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Portfolio-niveau — een keuze tussen initiatieven onder resourcebeperking, geen uitvoering van één initiatief.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Programma/transitieniveau met externe verantwoording — dit is de niveau 3-casus; benoem dat toezicht (DNB/AFM) een extra laag toevoegt die in niveau 3 behandeld wordt.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1.4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IPMA-D — kennisgericht instapniveau, geen ervaringseis.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PRINCE2 Foundation (en op termijn Practitioner) — de organisatie vraagt expliciet om methodekennis.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MSP Foundation, op termijn Practitioner, eventueel aangevuld met IPMA-C als de organisatie ook competentiegericht beoordeelt.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PMP (en op termijn PgMP) — sluit aan bij de standaard die de opdrachtgevers hanteren; bespreek hier kort dat dit in deel 16 verder aan bod komt.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"Moeten we alle vier de certificeringen halen?"</w:t>
      </w:r>
      <w:r>
        <w:rPr>
          <w:rFonts w:ascii="Calibri" w:cs="Calibri" w:eastAsia="Calibri" w:hAnsi="Calibri"/>
          <w:sz w:val="22"/>
          <w:szCs w:val="22"/>
        </w:rPr>
        <w:t xml:space="preserve"> Nee — de cursus leidt toe naar PRINCE2 + IPMA per niveau als hoofdlijn, met MSP vanaf niveau 2. PMI is vergelijkingskader, geen examendoel binnen deze cursus.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"Is IPMA moeilijker dan PRINCE2?"</w:t>
      </w:r>
      <w:r>
        <w:rPr>
          <w:rFonts w:ascii="Calibri" w:cs="Calibri" w:eastAsia="Calibri" w:hAnsi="Calibri"/>
          <w:sz w:val="22"/>
          <w:szCs w:val="22"/>
        </w:rPr>
        <w:t xml:space="preserve"> Anders, niet per se moeilijker: IPMA vraagt aantoonbare praktijkervaring en een assessmentgesprek, PRINCE2 vraagt kennis van en het kunnen toepassen van een vaste methode. Bij IPMA-B en -A telt ervaring als toelatingseis, niet alleen als leerstof.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1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2026-08-17T07:28:06.733Z</dcterms:created>
  <dcterms:modified xsi:type="dcterms:W3CDTF">2026-08-17T07:28:06.733Z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