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1 — Waarom projecten mislukken</w:t>
      </w:r>
    </w:p>
    <w:p>
      <w:pPr>
        <w:spacing w:after="300"/>
      </w:pPr>
      <w:r>
        <w:rPr>
          <w:rFonts w:ascii="Calibri" w:cs="Calibri" w:eastAsia="Calibri" w:hAnsi="Calibri"/>
          <w:i/>
          <w:iCs/>
          <w:color w:val="2563A8"/>
          <w:sz w:val="22"/>
          <w:szCs w:val="22"/>
        </w:rPr>
        <w:t xml:space="preserve">Niveau 1 Fundament · Project- en Programmamanagement</w:t>
      </w:r>
    </w:p>
    <w:p>
      <w:pPr>
        <w:pStyle w:val="Heading2"/>
        <w:spacing w:after="120" w:before="200"/>
      </w:pPr>
      <w:r>
        <w:rPr>
          <w:rFonts w:ascii="Georgia" w:cs="Georgia" w:eastAsia="Georgia" w:hAnsi="Georgia"/>
          <w:b/>
          <w:bCs/>
          <w:color w:val="2563A8"/>
          <w:sz w:val="28"/>
          <w:szCs w:val="28"/>
        </w:rPr>
        <w:t xml:space="preserve">1. Het WGP 2.0-dossier</w:t>
      </w:r>
    </w:p>
    <w:p>
      <w:pPr>
        <w:spacing w:after="140" w:line="300"/>
      </w:pPr>
      <w:r>
        <w:rPr>
          <w:rFonts w:ascii="Calibri" w:cs="Calibri" w:eastAsia="Calibri" w:hAnsi="Calibri"/>
          <w:sz w:val="22"/>
          <w:szCs w:val="22"/>
        </w:rPr>
        <w:t xml:space="preserve">Meridiaan, de fictieve pensioenverzekeraar die als rode draad door deze cursus loopt, heeft twee jaar geleden geprobeerd het werkgeversportaal in één keer te vervangen. Het project kreeg de naam </w:t>
      </w:r>
      <w:r>
        <w:rPr>
          <w:rFonts w:ascii="Calibri" w:cs="Calibri" w:eastAsia="Calibri" w:hAnsi="Calibri"/>
          <w:b/>
          <w:bCs/>
          <w:sz w:val="22"/>
          <w:szCs w:val="22"/>
        </w:rPr>
        <w:t xml:space="preserve">WGP 2.0</w:t>
      </w:r>
      <w:r>
        <w:rPr>
          <w:rFonts w:ascii="Calibri" w:cs="Calibri" w:eastAsia="Calibri" w:hAnsi="Calibri"/>
          <w:sz w:val="22"/>
          <w:szCs w:val="22"/>
        </w:rPr>
        <w:t xml:space="preserve">. Het mislukte: het ging drie keer over de geplande opleverdatum heen, het budget werd met 60% overschreden, en uiteindelijk werd het project stopgezet vlak voor de geplande livegang. Zes maanden later is het opnieuw opgestart — nu wél volgens een methode. Dat herstart project is de casus van niveau 1.</w:t>
      </w:r>
    </w:p>
    <w:p>
      <w:pPr>
        <w:spacing w:after="140" w:line="300"/>
      </w:pPr>
      <w:r>
        <w:rPr>
          <w:rFonts w:ascii="Calibri" w:cs="Calibri" w:eastAsia="Calibri" w:hAnsi="Calibri"/>
          <w:sz w:val="22"/>
          <w:szCs w:val="22"/>
        </w:rPr>
        <w:t xml:space="preserve">WGP 2.0 is dezelfde mislukking die in de architectuur- en scrumcursus als achtergrond dient, maar in dít deel kijken we er met een andere bril naar: niet "wat ging er mis in het ontwerp" of "wat ging er mis in de manier van werken", maar </w:t>
      </w:r>
      <w:r>
        <w:rPr>
          <w:rFonts w:ascii="Calibri" w:cs="Calibri" w:eastAsia="Calibri" w:hAnsi="Calibri"/>
          <w:b/>
          <w:bCs/>
          <w:sz w:val="22"/>
          <w:szCs w:val="22"/>
        </w:rPr>
        <w:t xml:space="preserve">wat ging er mis in de besturing van het project zelf</w:t>
      </w:r>
      <w:r>
        <w:rPr>
          <w:rFonts w:ascii="Calibri" w:cs="Calibri" w:eastAsia="Calibri" w:hAnsi="Calibri"/>
          <w:sz w:val="22"/>
          <w:szCs w:val="22"/>
        </w:rPr>
        <w:t xml:space="preserve"> — de vraag die project- en programmamanagement beantwoordt.</w:t>
      </w:r>
    </w:p>
    <w:p>
      <w:pPr>
        <w:pStyle w:val="Heading2"/>
        <w:spacing w:after="120" w:before="200"/>
      </w:pPr>
      <w:r>
        <w:rPr>
          <w:rFonts w:ascii="Georgia" w:cs="Georgia" w:eastAsia="Georgia" w:hAnsi="Georgia"/>
          <w:b/>
          <w:bCs/>
          <w:color w:val="2563A8"/>
          <w:sz w:val="28"/>
          <w:szCs w:val="28"/>
        </w:rPr>
        <w:t xml:space="preserve">2. Zeven bevindingen uit de post-mortem</w:t>
      </w:r>
    </w:p>
    <w:p>
      <w:pPr>
        <w:spacing w:after="140" w:line="300"/>
      </w:pPr>
      <w:r>
        <w:rPr>
          <w:rFonts w:ascii="Calibri" w:cs="Calibri" w:eastAsia="Calibri" w:hAnsi="Calibri"/>
          <w:sz w:val="22"/>
          <w:szCs w:val="22"/>
        </w:rPr>
        <w:t xml:space="preserve">Na de stopzetting is een onafhankelijke post-mortem uitgevoerd. Zeven bevindingen komen terug — en elke bevinding wordt in de loop van niveau 1 en 2 gesloten door een specifieke PRINCE2-practice of IPMA-competentie. Onthoud deze lijst: aan het eind van niveau 1 (deel 10) worden ze stuk voor stuk expliciet afgevinkt.</w:t>
      </w:r>
    </w:p>
    <w:p>
      <w:pPr>
        <w:spacing w:after="120" w:line="280"/>
        <w:ind w:left="360" w:hanging="360"/>
      </w:pPr>
      <w:r>
        <w:rPr>
          <w:rFonts w:ascii="Calibri" w:cs="Calibri" w:eastAsia="Calibri" w:hAnsi="Calibri"/>
          <w:b/>
          <w:bCs/>
          <w:color w:val="14213D"/>
          <w:sz w:val="22"/>
          <w:szCs w:val="22"/>
        </w:rPr>
        <w:t xml:space="preserve">1. </w:t>
      </w:r>
      <w:r>
        <w:rPr>
          <w:rFonts w:ascii="Calibri" w:cs="Calibri" w:eastAsia="Calibri" w:hAnsi="Calibri"/>
          <w:b/>
          <w:bCs/>
          <w:sz w:val="22"/>
          <w:szCs w:val="22"/>
        </w:rPr>
        <w:t xml:space="preserve">Geen levende business case.</w:t>
      </w:r>
      <w:r>
        <w:rPr>
          <w:rFonts w:ascii="Calibri" w:cs="Calibri" w:eastAsia="Calibri" w:hAnsi="Calibri"/>
          <w:sz w:val="22"/>
          <w:szCs w:val="22"/>
        </w:rPr>
        <w:t xml:space="preserve"> Er was een business case bij de start, geschreven om goedkeuring te krijgen. Daarna is er nooit meer naar gekeken. Toen de kosten opliepen, was er niets om tegen af te wegen.</w:t>
      </w:r>
    </w:p>
    <w:p>
      <w:pPr>
        <w:spacing w:after="120" w:line="280"/>
        <w:ind w:left="360" w:hanging="360"/>
      </w:pPr>
      <w:r>
        <w:rPr>
          <w:rFonts w:ascii="Calibri" w:cs="Calibri" w:eastAsia="Calibri" w:hAnsi="Calibri"/>
          <w:b/>
          <w:bCs/>
          <w:color w:val="14213D"/>
          <w:sz w:val="22"/>
          <w:szCs w:val="22"/>
        </w:rPr>
        <w:t xml:space="preserve">2. </w:t>
      </w:r>
      <w:r>
        <w:rPr>
          <w:rFonts w:ascii="Calibri" w:cs="Calibri" w:eastAsia="Calibri" w:hAnsi="Calibri"/>
          <w:b/>
          <w:bCs/>
          <w:sz w:val="22"/>
          <w:szCs w:val="22"/>
        </w:rPr>
        <w:t xml:space="preserve">Een stuurgroep zonder bevoegdheid.</w:t>
      </w:r>
      <w:r>
        <w:rPr>
          <w:rFonts w:ascii="Calibri" w:cs="Calibri" w:eastAsia="Calibri" w:hAnsi="Calibri"/>
          <w:sz w:val="22"/>
          <w:szCs w:val="22"/>
        </w:rPr>
        <w:t xml:space="preserve"> De stuurgroep kwam maandelijks bijeen, kreeg een voortgangspresentatie, en knikte. Niemand in die groep kon — of durfde — het project stil te leggen toen dat nodig was.</w:t>
      </w:r>
    </w:p>
    <w:p>
      <w:pPr>
        <w:spacing w:after="120" w:line="280"/>
        <w:ind w:left="360" w:hanging="360"/>
      </w:pPr>
      <w:r>
        <w:rPr>
          <w:rFonts w:ascii="Calibri" w:cs="Calibri" w:eastAsia="Calibri" w:hAnsi="Calibri"/>
          <w:b/>
          <w:bCs/>
          <w:color w:val="14213D"/>
          <w:sz w:val="22"/>
          <w:szCs w:val="22"/>
        </w:rPr>
        <w:t xml:space="preserve">3. </w:t>
      </w:r>
      <w:r>
        <w:rPr>
          <w:rFonts w:ascii="Calibri" w:cs="Calibri" w:eastAsia="Calibri" w:hAnsi="Calibri"/>
          <w:b/>
          <w:bCs/>
          <w:sz w:val="22"/>
          <w:szCs w:val="22"/>
        </w:rPr>
        <w:t xml:space="preserve">Eén grote fase in plaats van beheerste stappen.</w:t>
      </w:r>
      <w:r>
        <w:rPr>
          <w:rFonts w:ascii="Calibri" w:cs="Calibri" w:eastAsia="Calibri" w:hAnsi="Calibri"/>
          <w:sz w:val="22"/>
          <w:szCs w:val="22"/>
        </w:rPr>
        <w:t xml:space="preserve"> Het project liep achttien maanden door zonder formeel beslismoment. Er was geen plek waar iemand kon zeggen: "stop, voordat we verder gaan, herijken we."</w:t>
      </w:r>
    </w:p>
    <w:p>
      <w:pPr>
        <w:spacing w:after="120" w:line="280"/>
        <w:ind w:left="360" w:hanging="360"/>
      </w:pPr>
      <w:r>
        <w:rPr>
          <w:rFonts w:ascii="Calibri" w:cs="Calibri" w:eastAsia="Calibri" w:hAnsi="Calibri"/>
          <w:b/>
          <w:bCs/>
          <w:color w:val="14213D"/>
          <w:sz w:val="22"/>
          <w:szCs w:val="22"/>
        </w:rPr>
        <w:t xml:space="preserve">4. </w:t>
      </w:r>
      <w:r>
        <w:rPr>
          <w:rFonts w:ascii="Calibri" w:cs="Calibri" w:eastAsia="Calibri" w:hAnsi="Calibri"/>
          <w:b/>
          <w:bCs/>
          <w:sz w:val="22"/>
          <w:szCs w:val="22"/>
        </w:rPr>
        <w:t xml:space="preserve">Activiteitenplanning in plaats van resultatenplanning.</w:t>
      </w:r>
      <w:r>
        <w:rPr>
          <w:rFonts w:ascii="Calibri" w:cs="Calibri" w:eastAsia="Calibri" w:hAnsi="Calibri"/>
          <w:sz w:val="22"/>
          <w:szCs w:val="22"/>
        </w:rPr>
        <w:t xml:space="preserve"> De planning bestond uit taken en deadlines ("analysefase gereed", "bouw gereed"). Niemand had vooraf gedefinieerd wélke producten er aan het eind van elke stap moesten liggen en aan welke kwaliteitseisen die moesten voldoen.</w:t>
      </w:r>
    </w:p>
    <w:p>
      <w:pPr>
        <w:spacing w:after="120" w:line="280"/>
        <w:ind w:left="360" w:hanging="360"/>
      </w:pPr>
      <w:r>
        <w:rPr>
          <w:rFonts w:ascii="Calibri" w:cs="Calibri" w:eastAsia="Calibri" w:hAnsi="Calibri"/>
          <w:b/>
          <w:bCs/>
          <w:color w:val="14213D"/>
          <w:sz w:val="22"/>
          <w:szCs w:val="22"/>
        </w:rPr>
        <w:t xml:space="preserve">5. </w:t>
      </w:r>
      <w:r>
        <w:rPr>
          <w:rFonts w:ascii="Calibri" w:cs="Calibri" w:eastAsia="Calibri" w:hAnsi="Calibri"/>
          <w:b/>
          <w:bCs/>
          <w:sz w:val="22"/>
          <w:szCs w:val="22"/>
        </w:rPr>
        <w:t xml:space="preserve">Geen toleranties, dus geen ruimte om te sturen.</w:t>
      </w:r>
      <w:r>
        <w:rPr>
          <w:rFonts w:ascii="Calibri" w:cs="Calibri" w:eastAsia="Calibri" w:hAnsi="Calibri"/>
          <w:sz w:val="22"/>
          <w:szCs w:val="22"/>
        </w:rPr>
        <w:t xml:space="preserve"> Er was geen afgesproken marge waarbinnen de projectmanager zelfstandig mocht handelen. Elke afwijking — hoe klein ook — moest naar boven, maar er was geen duidelijk proces om dat te doen. Het gevolg: afwijkingen werden niet gemeld, tot ze te groot waren om te verbergen.</w:t>
      </w:r>
    </w:p>
    <w:p>
      <w:pPr>
        <w:spacing w:after="120" w:line="280"/>
        <w:ind w:left="360" w:hanging="360"/>
      </w:pPr>
      <w:r>
        <w:rPr>
          <w:rFonts w:ascii="Calibri" w:cs="Calibri" w:eastAsia="Calibri" w:hAnsi="Calibri"/>
          <w:b/>
          <w:bCs/>
          <w:color w:val="14213D"/>
          <w:sz w:val="22"/>
          <w:szCs w:val="22"/>
        </w:rPr>
        <w:t xml:space="preserve">6. </w:t>
      </w:r>
      <w:r>
        <w:rPr>
          <w:rFonts w:ascii="Calibri" w:cs="Calibri" w:eastAsia="Calibri" w:hAnsi="Calibri"/>
          <w:b/>
          <w:bCs/>
          <w:sz w:val="22"/>
          <w:szCs w:val="22"/>
        </w:rPr>
        <w:t xml:space="preserve">Een risicolijst zonder eigenaren.</w:t>
      </w:r>
      <w:r>
        <w:rPr>
          <w:rFonts w:ascii="Calibri" w:cs="Calibri" w:eastAsia="Calibri" w:hAnsi="Calibri"/>
          <w:sz w:val="22"/>
          <w:szCs w:val="22"/>
        </w:rPr>
        <w:t xml:space="preserve"> Er was een risicoregister. Het stond vol met reële risico's, correct benoemd. Maar niemand was per risico verantwoordelijk voor het beheersen ervan, en de lijst werd nooit geactualiseerd.</w:t>
      </w:r>
    </w:p>
    <w:p>
      <w:pPr>
        <w:spacing w:after="120" w:line="280"/>
        <w:ind w:left="360" w:hanging="360"/>
      </w:pPr>
      <w:r>
        <w:rPr>
          <w:rFonts w:ascii="Calibri" w:cs="Calibri" w:eastAsia="Calibri" w:hAnsi="Calibri"/>
          <w:b/>
          <w:bCs/>
          <w:color w:val="14213D"/>
          <w:sz w:val="22"/>
          <w:szCs w:val="22"/>
        </w:rPr>
        <w:t xml:space="preserve">7. </w:t>
      </w:r>
      <w:r>
        <w:rPr>
          <w:rFonts w:ascii="Calibri" w:cs="Calibri" w:eastAsia="Calibri" w:hAnsi="Calibri"/>
          <w:b/>
          <w:bCs/>
          <w:sz w:val="22"/>
          <w:szCs w:val="22"/>
        </w:rPr>
        <w:t xml:space="preserve">Geen zicht op baten.</w:t>
      </w:r>
      <w:r>
        <w:rPr>
          <w:rFonts w:ascii="Calibri" w:cs="Calibri" w:eastAsia="Calibri" w:hAnsi="Calibri"/>
          <w:sz w:val="22"/>
          <w:szCs w:val="22"/>
        </w:rPr>
        <w:t xml:space="preserve"> Het project werd afgerekend op "op tijd en binnen budget opleveren van een systeem", niet op het beoogde resultaat: minder foutieve mutaties, snellere doorlooptijd voor werkgevers. Toen het project onder druk kwam, was er geen taal om te beargumenteren waaróm het de moeite waard was om door te zetten of juist te stoppen.</w:t>
      </w:r>
    </w:p>
    <w:p>
      <w:pPr>
        <w:spacing w:after="140" w:line="300"/>
      </w:pPr>
      <w:r>
        <w:rPr>
          <w:rFonts w:ascii="Calibri" w:cs="Calibri" w:eastAsia="Calibri" w:hAnsi="Calibri"/>
          <w:sz w:val="22"/>
          <w:szCs w:val="22"/>
        </w:rPr>
        <w:t xml:space="preserve">Zeven bevindingen — en niet toevallig zeven, want dat is precies het aantal principes dat PRINCE2 7 hanteert. Dat is geen truc: het laat zien dat de methode is opgebouwd rond precies de faalpatronen die in de praktijk het vaakst voorkomen.</w:t>
      </w:r>
    </w:p>
    <w:p>
      <w:pPr>
        <w:pStyle w:val="Heading2"/>
        <w:spacing w:after="120" w:before="200"/>
      </w:pPr>
      <w:r>
        <w:rPr>
          <w:rFonts w:ascii="Georgia" w:cs="Georgia" w:eastAsia="Georgia" w:hAnsi="Georgia"/>
          <w:b/>
          <w:bCs/>
          <w:color w:val="2563A8"/>
          <w:sz w:val="28"/>
          <w:szCs w:val="28"/>
        </w:rPr>
        <w:t xml:space="preserve">3. Wat is een project, wat is geen project</w:t>
      </w:r>
    </w:p>
    <w:p>
      <w:pPr>
        <w:spacing w:after="140" w:line="300"/>
      </w:pPr>
      <w:r>
        <w:rPr>
          <w:rFonts w:ascii="Calibri" w:cs="Calibri" w:eastAsia="Calibri" w:hAnsi="Calibri"/>
          <w:sz w:val="22"/>
          <w:szCs w:val="22"/>
        </w:rPr>
        <w:t xml:space="preserve">Voordat we een methode gaan leren, moet helder zijn wanneer die methode überhaupt van toepassing is. PRINCE2 7 definieert een project als een </w:t>
      </w:r>
      <w:r>
        <w:rPr>
          <w:rFonts w:ascii="Calibri" w:cs="Calibri" w:eastAsia="Calibri" w:hAnsi="Calibri"/>
          <w:b/>
          <w:bCs/>
          <w:sz w:val="22"/>
          <w:szCs w:val="22"/>
        </w:rPr>
        <w:t xml:space="preserve">tijdelijke organisatie die wordt opgezet met als doel één of meer bedrijfsproducten op te leveren volgens een overeengekomen business case</w:t>
      </w:r>
      <w:r>
        <w:rPr>
          <w:rFonts w:ascii="Calibri" w:cs="Calibri" w:eastAsia="Calibri" w:hAnsi="Calibri"/>
          <w:sz w:val="22"/>
          <w:szCs w:val="22"/>
        </w:rPr>
        <w:t xml:space="preserve">.</w:t>
      </w:r>
    </w:p>
    <w:p>
      <w:pPr>
        <w:spacing w:after="140" w:line="300"/>
      </w:pPr>
      <w:r>
        <w:rPr>
          <w:rFonts w:ascii="Calibri" w:cs="Calibri" w:eastAsia="Calibri" w:hAnsi="Calibri"/>
          <w:sz w:val="22"/>
          <w:szCs w:val="22"/>
        </w:rPr>
        <w:t xml:space="preserve">Drie kenmerken zitten in die definitie verstopt en die zijn allemaal relevant:</w:t>
      </w:r>
    </w:p>
    <w:p>
      <w:pPr>
        <w:pStyle w:val="ListParagraph"/>
        <w:numPr>
          <w:ilvl w:val="0"/>
          <w:numId w:val="1"/>
        </w:numPr>
        <w:spacing w:after="100" w:line="280"/>
      </w:pPr>
      <w:r>
        <w:rPr>
          <w:rFonts w:ascii="Calibri" w:cs="Calibri" w:eastAsia="Calibri" w:hAnsi="Calibri"/>
          <w:b/>
          <w:bCs/>
          <w:sz w:val="22"/>
          <w:szCs w:val="22"/>
        </w:rPr>
        <w:t xml:space="preserve">Tijdelijk.</w:t>
      </w:r>
      <w:r>
        <w:rPr>
          <w:rFonts w:ascii="Calibri" w:cs="Calibri" w:eastAsia="Calibri" w:hAnsi="Calibri"/>
          <w:sz w:val="22"/>
          <w:szCs w:val="22"/>
        </w:rPr>
        <w:t xml:space="preserve"> Een project heeft een begin en een eind. Zodra de producten zijn opgeleverd en overgedragen, houdt de projectorganisatie op te bestaan. Dit onderscheidt een project van lijnwerk — een team dat structureel klantvragen afhandelt is geen project, ook al is het werk soms complex en onvoorspelbaar.</w:t>
      </w:r>
    </w:p>
    <w:p>
      <w:pPr>
        <w:pStyle w:val="ListParagraph"/>
        <w:numPr>
          <w:ilvl w:val="0"/>
          <w:numId w:val="1"/>
        </w:numPr>
        <w:spacing w:after="100" w:line="280"/>
      </w:pPr>
      <w:r>
        <w:rPr>
          <w:rFonts w:ascii="Calibri" w:cs="Calibri" w:eastAsia="Calibri" w:hAnsi="Calibri"/>
          <w:b/>
          <w:bCs/>
          <w:sz w:val="22"/>
          <w:szCs w:val="22"/>
        </w:rPr>
        <w:t xml:space="preserve">Uniek.</w:t>
      </w:r>
      <w:r>
        <w:rPr>
          <w:rFonts w:ascii="Calibri" w:cs="Calibri" w:eastAsia="Calibri" w:hAnsi="Calibri"/>
          <w:sz w:val="22"/>
          <w:szCs w:val="22"/>
        </w:rPr>
        <w:t xml:space="preserve"> Een project levert iets op dat er nog niet was, of verandert iets structureels. Routinematig herhaalde werkzaamheden — ook al zijn ze omvangrijk — zijn geen project.</w:t>
      </w:r>
    </w:p>
    <w:p>
      <w:pPr>
        <w:pStyle w:val="ListParagraph"/>
        <w:numPr>
          <w:ilvl w:val="0"/>
          <w:numId w:val="1"/>
        </w:numPr>
        <w:spacing w:after="100" w:line="280"/>
      </w:pPr>
      <w:r>
        <w:rPr>
          <w:rFonts w:ascii="Calibri" w:cs="Calibri" w:eastAsia="Calibri" w:hAnsi="Calibri"/>
          <w:b/>
          <w:bCs/>
          <w:sz w:val="22"/>
          <w:szCs w:val="22"/>
        </w:rPr>
        <w:t xml:space="preserve">Business case gedreven.</w:t>
      </w:r>
      <w:r>
        <w:rPr>
          <w:rFonts w:ascii="Calibri" w:cs="Calibri" w:eastAsia="Calibri" w:hAnsi="Calibri"/>
          <w:sz w:val="22"/>
          <w:szCs w:val="22"/>
        </w:rPr>
        <w:t xml:space="preserve"> Een project bestaat om een bedrijfsmatige reden: er moet een aantoonbaar voordeel tegenover de investering staan. Zonder business case is er geen project, maar een activiteit.</w:t>
      </w:r>
    </w:p>
    <w:p>
      <w:pPr>
        <w:spacing w:after="140" w:line="300"/>
      </w:pPr>
      <w:r>
        <w:rPr>
          <w:rFonts w:ascii="Calibri" w:cs="Calibri" w:eastAsia="Calibri" w:hAnsi="Calibri"/>
          <w:sz w:val="22"/>
          <w:szCs w:val="22"/>
        </w:rPr>
        <w:t xml:space="preserve">Meridiaan's afdeling Klantcontact behandelt dagelijks duizenden mutatieverzoeken van werkgevers — dat is lijnwerk, hoe druk het ook is. Het initiatief om die mutatieverwerking te automatiseren, met een projectteam, een deadline en een investeringsbeslissing, is een project.</w:t>
      </w:r>
    </w:p>
    <w:p>
      <w:pPr>
        <w:pStyle w:val="Heading2"/>
        <w:spacing w:after="120" w:before="200"/>
      </w:pPr>
      <w:r>
        <w:rPr>
          <w:rFonts w:ascii="Georgia" w:cs="Georgia" w:eastAsia="Georgia" w:hAnsi="Georgia"/>
          <w:b/>
          <w:bCs/>
          <w:color w:val="2563A8"/>
          <w:sz w:val="28"/>
          <w:szCs w:val="28"/>
        </w:rPr>
        <w:t xml:space="preserve">4. Van project naar programma naar portfolio</w:t>
      </w:r>
    </w:p>
    <w:p>
      <w:pPr>
        <w:spacing w:after="140" w:line="300"/>
      </w:pPr>
      <w:r>
        <w:rPr>
          <w:rFonts w:ascii="Calibri" w:cs="Calibri" w:eastAsia="Calibri" w:hAnsi="Calibri"/>
          <w:sz w:val="22"/>
          <w:szCs w:val="22"/>
        </w:rPr>
        <w:t xml:space="preserve">Deze cursus is opgebouwd in drie lagen, en het is belangrijk om vanaf dag één te zien waarom.</w:t>
      </w:r>
    </w:p>
    <w:p>
      <w:pPr>
        <w:pStyle w:val="ListParagraph"/>
        <w:numPr>
          <w:ilvl w:val="0"/>
          <w:numId w:val="1"/>
        </w:numPr>
        <w:spacing w:after="100" w:line="280"/>
      </w:pPr>
      <w:r>
        <w:rPr>
          <w:rFonts w:ascii="Calibri" w:cs="Calibri" w:eastAsia="Calibri" w:hAnsi="Calibri"/>
          <w:b/>
          <w:bCs/>
          <w:sz w:val="22"/>
          <w:szCs w:val="22"/>
        </w:rPr>
        <w:t xml:space="preserve">Project</w:t>
      </w:r>
      <w:r>
        <w:rPr>
          <w:rFonts w:ascii="Calibri" w:cs="Calibri" w:eastAsia="Calibri" w:hAnsi="Calibri"/>
          <w:sz w:val="22"/>
          <w:szCs w:val="22"/>
        </w:rPr>
        <w:t xml:space="preserve"> (niveau 1): een tijdelijke inspanning met een afgebakend resultaat. WGP 2.0 herstart, op zichzelf.</w:t>
      </w:r>
    </w:p>
    <w:p>
      <w:pPr>
        <w:pStyle w:val="ListParagraph"/>
        <w:numPr>
          <w:ilvl w:val="0"/>
          <w:numId w:val="1"/>
        </w:numPr>
        <w:spacing w:after="100" w:line="280"/>
      </w:pPr>
      <w:r>
        <w:rPr>
          <w:rFonts w:ascii="Calibri" w:cs="Calibri" w:eastAsia="Calibri" w:hAnsi="Calibri"/>
          <w:b/>
          <w:bCs/>
          <w:sz w:val="22"/>
          <w:szCs w:val="22"/>
        </w:rPr>
        <w:t xml:space="preserve">Programma</w:t>
      </w:r>
      <w:r>
        <w:rPr>
          <w:rFonts w:ascii="Calibri" w:cs="Calibri" w:eastAsia="Calibri" w:hAnsi="Calibri"/>
          <w:sz w:val="22"/>
          <w:szCs w:val="22"/>
        </w:rPr>
        <w:t xml:space="preserve"> (niveau 2): een tijdelijke, flexibele organisatie die een aantal gerelateerde projecten en activiteiten coördineert om </w:t>
      </w:r>
      <w:r>
        <w:rPr>
          <w:rFonts w:ascii="Calibri" w:cs="Calibri" w:eastAsia="Calibri" w:hAnsi="Calibri"/>
          <w:b/>
          <w:bCs/>
          <w:sz w:val="22"/>
          <w:szCs w:val="22"/>
        </w:rPr>
        <w:t xml:space="preserve">baten</w:t>
      </w:r>
      <w:r>
        <w:rPr>
          <w:rFonts w:ascii="Calibri" w:cs="Calibri" w:eastAsia="Calibri" w:hAnsi="Calibri"/>
          <w:sz w:val="22"/>
          <w:szCs w:val="22"/>
        </w:rPr>
        <w:t xml:space="preserve"> te realiseren die een strategisch doel dienen — baten die geen van de individuele projecten alleen zou kunnen opleveren. In niveau 2 zit WGP 2.0 niet meer op zichzelf: het is één project binnen het bredere </w:t>
      </w:r>
      <w:r>
        <w:rPr>
          <w:rFonts w:ascii="Calibri" w:cs="Calibri" w:eastAsia="Calibri" w:hAnsi="Calibri"/>
          <w:b/>
          <w:bCs/>
          <w:sz w:val="22"/>
          <w:szCs w:val="22"/>
        </w:rPr>
        <w:t xml:space="preserve">Programma Mutatieplatform</w:t>
      </w:r>
      <w:r>
        <w:rPr>
          <w:rFonts w:ascii="Calibri" w:cs="Calibri" w:eastAsia="Calibri" w:hAnsi="Calibri"/>
          <w:sz w:val="22"/>
          <w:szCs w:val="22"/>
        </w:rPr>
        <w:t xml:space="preserve">, samen met vier andere afdelingsinitiatieven die pas gezamenlijk het beoogde bedrijfsresultaat opleveren.</w:t>
      </w:r>
    </w:p>
    <w:p>
      <w:pPr>
        <w:pStyle w:val="ListParagraph"/>
        <w:numPr>
          <w:ilvl w:val="0"/>
          <w:numId w:val="1"/>
        </w:numPr>
        <w:spacing w:after="100" w:line="280"/>
      </w:pPr>
      <w:r>
        <w:rPr>
          <w:rFonts w:ascii="Calibri" w:cs="Calibri" w:eastAsia="Calibri" w:hAnsi="Calibri"/>
          <w:b/>
          <w:bCs/>
          <w:sz w:val="22"/>
          <w:szCs w:val="22"/>
        </w:rPr>
        <w:t xml:space="preserve">Portfolio / transitie</w:t>
      </w:r>
      <w:r>
        <w:rPr>
          <w:rFonts w:ascii="Calibri" w:cs="Calibri" w:eastAsia="Calibri" w:hAnsi="Calibri"/>
          <w:sz w:val="22"/>
          <w:szCs w:val="22"/>
        </w:rPr>
        <w:t xml:space="preserve"> (niveau 3): de laag waarop een organisatie keuzes maakt over </w:t>
      </w:r>
      <w:r>
        <w:rPr>
          <w:rFonts w:ascii="Calibri" w:cs="Calibri" w:eastAsia="Calibri" w:hAnsi="Calibri"/>
          <w:i/>
          <w:iCs/>
          <w:sz w:val="22"/>
          <w:szCs w:val="22"/>
        </w:rPr>
        <w:t xml:space="preserve">welke</w:t>
      </w:r>
      <w:r>
        <w:rPr>
          <w:rFonts w:ascii="Calibri" w:cs="Calibri" w:eastAsia="Calibri" w:hAnsi="Calibri"/>
          <w:sz w:val="22"/>
          <w:szCs w:val="22"/>
        </w:rPr>
        <w:t xml:space="preserve"> programma's en projecten überhaupt worden uitgevoerd, onder toezicht en verantwoording. In niveau 3 draait de casus om de </w:t>
      </w:r>
      <w:r>
        <w:rPr>
          <w:rFonts w:ascii="Calibri" w:cs="Calibri" w:eastAsia="Calibri" w:hAnsi="Calibri"/>
          <w:b/>
          <w:bCs/>
          <w:sz w:val="22"/>
          <w:szCs w:val="22"/>
        </w:rPr>
        <w:t xml:space="preserve">Stelselovergang</w:t>
      </w:r>
      <w:r>
        <w:rPr>
          <w:rFonts w:ascii="Calibri" w:cs="Calibri" w:eastAsia="Calibri" w:hAnsi="Calibri"/>
          <w:sz w:val="22"/>
          <w:szCs w:val="22"/>
        </w:rPr>
        <w:t xml:space="preserve"> — de laatste fase van de wettelijke pensioentransitie (Wtp), met DNB en AFM als toezichthouders.</w:t>
      </w:r>
    </w:p>
    <w:p>
      <w:pPr>
        <w:spacing w:after="140" w:line="300"/>
      </w:pPr>
      <w:r>
        <w:rPr>
          <w:rFonts w:ascii="Calibri" w:cs="Calibri" w:eastAsia="Calibri" w:hAnsi="Calibri"/>
          <w:sz w:val="22"/>
          <w:szCs w:val="22"/>
        </w:rPr>
        <w:t xml:space="preserve">Dit is geen willekeurige opklimming in moeilijkheidsgraad. Het is een echt onderscheid: een goede projectmanager die op programmaniveau dezelfde technieken blijft toepassen, loopt vast — een programma heeft geen vast eindproduct, maar een voortdurend te heroverwegen batenpad. Dat verschil komt terug zodra we in deel 11 de overstap maken.</w:t>
      </w:r>
    </w:p>
    <w:p>
      <w:pPr>
        <w:pStyle w:val="Heading2"/>
        <w:spacing w:after="120" w:before="200"/>
      </w:pPr>
      <w:r>
        <w:rPr>
          <w:rFonts w:ascii="Georgia" w:cs="Georgia" w:eastAsia="Georgia" w:hAnsi="Georgia"/>
          <w:b/>
          <w:bCs/>
          <w:color w:val="2563A8"/>
          <w:sz w:val="28"/>
          <w:szCs w:val="28"/>
        </w:rPr>
        <w:t xml:space="preserve">5. Het certificeringslandschap</w:t>
      </w:r>
    </w:p>
    <w:p>
      <w:pPr>
        <w:spacing w:after="140" w:line="300"/>
      </w:pPr>
      <w:r>
        <w:rPr>
          <w:rFonts w:ascii="Calibri" w:cs="Calibri" w:eastAsia="Calibri" w:hAnsi="Calibri"/>
          <w:sz w:val="22"/>
          <w:szCs w:val="22"/>
        </w:rPr>
        <w:t xml:space="preserve">Er bestaan meerdere, deels overlappende certificeringsroutes voor project- en programmamanagement. Deze cursus leidt toe naar drie van elkaar onafhankelijke lijnen, per niveau:</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Niveau</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Methodegebonden</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Competentiegebonden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 — Project, basis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**PRINCE2 7 Foundation**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**IPMA-D**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 — Project, gevorderd + Programma, basis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**PRINCE2 7 Practitioner** + **MSP 5e editie Foundation**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**IPMA-C**</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 — Programma, gevorderd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**MSP 5e editie Practitioner**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**IPMA-B**</w:t>
            </w:r>
          </w:p>
        </w:tc>
      </w:tr>
    </w:tbl>
    <w:p>
      <w:pPr>
        <w:spacing w:after="140" w:line="300"/>
      </w:pPr>
      <w:r>
        <w:rPr>
          <w:rFonts w:ascii="Calibri" w:cs="Calibri" w:eastAsia="Calibri" w:hAnsi="Calibri"/>
          <w:b/>
          <w:bCs/>
          <w:sz w:val="22"/>
          <w:szCs w:val="22"/>
        </w:rPr>
        <w:t xml:space="preserve">PRINCE2 7</w:t>
      </w:r>
      <w:r>
        <w:rPr>
          <w:rFonts w:ascii="Calibri" w:cs="Calibri" w:eastAsia="Calibri" w:hAnsi="Calibri"/>
          <w:sz w:val="22"/>
          <w:szCs w:val="22"/>
        </w:rPr>
        <w:t xml:space="preserve"> (PeopleCert, sinds 2023) is methodegebonden: het beschrijft zeven principes, zeven practices (voorheen "themes" genoemd) en zeven processen, en toetst of je die correct kunt toepassen en tailoren. Foundation is closed-book en kennisgericht; Practitioner is open-book en scenariogericht — je krijgt een projectsituatie voorgelegd en moet PRINCE2 daarop toepassen, niet reproduceren.</w:t>
      </w:r>
    </w:p>
    <w:p>
      <w:pPr>
        <w:spacing w:after="140" w:line="300"/>
      </w:pPr>
      <w:r>
        <w:rPr>
          <w:rFonts w:ascii="Calibri" w:cs="Calibri" w:eastAsia="Calibri" w:hAnsi="Calibri"/>
          <w:b/>
          <w:bCs/>
          <w:sz w:val="22"/>
          <w:szCs w:val="22"/>
        </w:rPr>
        <w:t xml:space="preserve">MSP</w:t>
      </w:r>
      <w:r>
        <w:rPr>
          <w:rFonts w:ascii="Calibri" w:cs="Calibri" w:eastAsia="Calibri" w:hAnsi="Calibri"/>
          <w:sz w:val="22"/>
          <w:szCs w:val="22"/>
        </w:rPr>
        <w:t xml:space="preserve"> (Managing Successful Programmes, 5e editie) is de programmamanagement-tegenhanger van PRINCE2, eveneens onder PeopleCert. Foundation toetst kennis van de principes, thema's en het transformatieproces; Practitioner is, net als bij PRINCE2, een open-book scenario-examen.</w:t>
      </w:r>
    </w:p>
    <w:p>
      <w:pPr>
        <w:spacing w:after="140" w:line="300"/>
      </w:pPr>
      <w:r>
        <w:rPr>
          <w:rFonts w:ascii="Calibri" w:cs="Calibri" w:eastAsia="Calibri" w:hAnsi="Calibri"/>
          <w:b/>
          <w:bCs/>
          <w:sz w:val="22"/>
          <w:szCs w:val="22"/>
        </w:rPr>
        <w:t xml:space="preserve">IPMA</w:t>
      </w:r>
      <w:r>
        <w:rPr>
          <w:rFonts w:ascii="Calibri" w:cs="Calibri" w:eastAsia="Calibri" w:hAnsi="Calibri"/>
          <w:sz w:val="22"/>
          <w:szCs w:val="22"/>
        </w:rPr>
        <w:t xml:space="preserve"> werkt fundamenteel anders: het is geen methode maar een </w:t>
      </w:r>
      <w:r>
        <w:rPr>
          <w:rFonts w:ascii="Calibri" w:cs="Calibri" w:eastAsia="Calibri" w:hAnsi="Calibri"/>
          <w:b/>
          <w:bCs/>
          <w:sz w:val="22"/>
          <w:szCs w:val="22"/>
        </w:rPr>
        <w:t xml:space="preserve">competentiebaseline</w:t>
      </w:r>
      <w:r>
        <w:rPr>
          <w:rFonts w:ascii="Calibri" w:cs="Calibri" w:eastAsia="Calibri" w:hAnsi="Calibri"/>
          <w:sz w:val="22"/>
          <w:szCs w:val="22"/>
        </w:rPr>
        <w:t xml:space="preserve"> (ICB4 — Individual Competence Baseline). IPMA toetst niet of je een methode kent, maar of jij, als persoon, de vereiste technische, gedragsmatige en contextuele competenties beheerst — via een assessment door professionele assessoren, niet via een meerkeuze-examen. IPMA-D is instapniveau (kennis); IPMA-C, B en A vereisen oplopend meer praktijkervaring als zelfstandig verantwoordelijke voor projecten (C), complexe projecten (B) of programma's/portfolio's (A). Voor IPMA-B geldt het zogeheten 8-5-3-principe: vijf jaar relevante ervaring binnen de laatste acht jaar, waarvan drie jaar op het eigen certificeringsniveau.</w:t>
      </w:r>
    </w:p>
    <w:p>
      <w:pPr>
        <w:spacing w:after="140" w:line="300"/>
      </w:pPr>
      <w:r>
        <w:rPr>
          <w:rFonts w:ascii="Calibri" w:cs="Calibri" w:eastAsia="Calibri" w:hAnsi="Calibri"/>
          <w:sz w:val="22"/>
          <w:szCs w:val="22"/>
        </w:rPr>
        <w:t xml:space="preserve">Er is een vierde route die we in deze cursus bewust niet als hoofdlijn volgen: </w:t>
      </w:r>
      <w:r>
        <w:rPr>
          <w:rFonts w:ascii="Calibri" w:cs="Calibri" w:eastAsia="Calibri" w:hAnsi="Calibri"/>
          <w:b/>
          <w:bCs/>
          <w:sz w:val="22"/>
          <w:szCs w:val="22"/>
        </w:rPr>
        <w:t xml:space="preserve">PMI</w:t>
      </w:r>
      <w:r>
        <w:rPr>
          <w:rFonts w:ascii="Calibri" w:cs="Calibri" w:eastAsia="Calibri" w:hAnsi="Calibri"/>
          <w:sz w:val="22"/>
          <w:szCs w:val="22"/>
        </w:rPr>
        <w:t xml:space="preserve">, met PMP (project) en PgMP (programma). PMI is wereldwijd dominant buiten Europa en werkt vanuit </w:t>
      </w:r>
      <w:r>
        <w:rPr>
          <w:rFonts w:ascii="Calibri" w:cs="Calibri" w:eastAsia="Calibri" w:hAnsi="Calibri"/>
          <w:i/>
          <w:iCs/>
          <w:sz w:val="22"/>
          <w:szCs w:val="22"/>
        </w:rPr>
        <w:t xml:space="preserve">A Guide to the Project Management Body of Knowledge</w:t>
      </w:r>
      <w:r>
        <w:rPr>
          <w:rFonts w:ascii="Calibri" w:cs="Calibri" w:eastAsia="Calibri" w:hAnsi="Calibri"/>
          <w:sz w:val="22"/>
          <w:szCs w:val="22"/>
        </w:rPr>
        <w:t xml:space="preserve"> (PMBOK) in plaats van een voorgeschreven methode. Omdat PRINCE2/MSP en IPMA in de Benelux verreweg het meest gevraagd worden, komt PMI in deze cursus terug als vergelijkingskader in deel 16 — zodat je een PMP- of PgMP-gecertificeerde collega of opdrachtgever kunt begrijpen — maar niet als examenlijn met eigen voorbereiding.</w:t>
      </w:r>
    </w:p>
    <w:p>
      <w:pPr>
        <w:pStyle w:val="Heading2"/>
        <w:spacing w:after="120" w:before="200"/>
      </w:pPr>
      <w:r>
        <w:rPr>
          <w:rFonts w:ascii="Georgia" w:cs="Georgia" w:eastAsia="Georgia" w:hAnsi="Georgia"/>
          <w:b/>
          <w:bCs/>
          <w:color w:val="2563A8"/>
          <w:sz w:val="28"/>
          <w:szCs w:val="28"/>
        </w:rPr>
        <w:t xml:space="preserve">6. Vooruitblik</w:t>
      </w:r>
    </w:p>
    <w:p>
      <w:pPr>
        <w:spacing w:after="140" w:line="300"/>
      </w:pPr>
      <w:r>
        <w:rPr>
          <w:rFonts w:ascii="Calibri" w:cs="Calibri" w:eastAsia="Calibri" w:hAnsi="Calibri"/>
          <w:sz w:val="22"/>
          <w:szCs w:val="22"/>
        </w:rPr>
        <w:t xml:space="preserve">De komende negen delen van niveau 1 volgen de herstart van WGP 2.0 stap voor stap: eerst de zeven PRINCE2-principes (deel 2), dan de vier practices die de zeven bevindingen direct raken (deel 3–6), dan de processen die het project chronologisch structureren (deel 7–8), dan wat IPMA-D toevoegt aan wat PRINCE2 niet dekt (deel 9), en tot slot de examentraining met een capstone waarin je een Project Initiation Document verdedigt voor een stuurgroep (deel 10).</w:t>
      </w:r>
    </w:p>
    <w:p>
      <w:pPr>
        <w:spacing w:after="140" w:line="300"/>
      </w:pPr>
      <w:r>
        <w:rPr>
          <w:rFonts w:ascii="Calibri" w:cs="Calibri" w:eastAsia="Calibri" w:hAnsi="Calibri"/>
          <w:sz w:val="22"/>
          <w:szCs w:val="22"/>
        </w:rPr>
        <w:t xml:space="preserve">Aan het eind van deel 10 zijn alle zeven bevindingen uit deze reader gesloten — niet als afvinklijst, maar omdat je dan kunt uitleggen </w:t>
      </w:r>
      <w:r>
        <w:rPr>
          <w:rFonts w:ascii="Calibri" w:cs="Calibri" w:eastAsia="Calibri" w:hAnsi="Calibri"/>
          <w:i/>
          <w:iCs/>
          <w:sz w:val="22"/>
          <w:szCs w:val="22"/>
        </w:rPr>
        <w:t xml:space="preserve">welke</w:t>
      </w:r>
      <w:r>
        <w:rPr>
          <w:rFonts w:ascii="Calibri" w:cs="Calibri" w:eastAsia="Calibri" w:hAnsi="Calibri"/>
          <w:sz w:val="22"/>
          <w:szCs w:val="22"/>
        </w:rPr>
        <w:t xml:space="preserve"> PRINCE2-practice elke bevinding voorkomt en waarom dat werkt.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1 Fundament · Deel 1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2026-08-17T07:28:06.616Z</dcterms:created>
  <dcterms:modified xsi:type="dcterms:W3CDTF">2026-08-17T07:28:06.617Z</dcterms:modified>
</cp:coreProperties>
</file>

<file path=docProps/custom.xml><?xml version="1.0" encoding="utf-8"?>
<Properties xmlns="http://schemas.openxmlformats.org/officeDocument/2006/custom-properties" xmlns:vt="http://schemas.openxmlformats.org/officeDocument/2006/docPropsVTypes"/>
</file>