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 — De zeven principes van PRINCE2 7</w:t>
      </w:r>
    </w:p>
    <w:p>
      <w:pPr>
        <w:spacing w:after="300"/>
      </w:pPr>
      <w:r>
        <w:rPr>
          <w:rFonts w:ascii="Calibri" w:cs="Calibri" w:eastAsia="Calibri" w:hAnsi="Calibri"/>
          <w:i/>
          <w:iCs/>
          <w:color w:val="2563A8"/>
          <w:sz w:val="22"/>
          <w:szCs w:val="22"/>
        </w:rPr>
        <w:t xml:space="preserve">Niveau 1 Fundament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2 (van 10 in niveau 1)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 zeven principes niet als losse feiten laten memoriseren, maar als noodzakelijke voorwaarden laten ervaren — elk principe wordt geïntroduceerd als "het antwoord op" een bevinding die deelnemers al kennen. Daarnaast: het cruciale exameninzicht vestigen dat principes, practices/processen en terminologie drie verschillende mate van flexibiliteit hebben.</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 de zeven bevindingen, aankondiging van de koppeling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drie lagen: principes/practices+processen/producten-en-taal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zeven principes, elk met koppeling aan een bevinding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 interactief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 + kruisvergelijking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People-element en sustainability (reader §3–4)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Tailoring: wat mag wel/niet (reader §5)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 casusgewijs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 + reflectievraag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Behandel de zeven principes niet als een opsomming, maar bouw ze op als antwoord.</w:t>
      </w:r>
      <w:r>
        <w:rPr>
          <w:rFonts w:ascii="Calibri" w:cs="Calibri" w:eastAsia="Calibri" w:hAnsi="Calibri"/>
          <w:sz w:val="22"/>
          <w:szCs w:val="22"/>
        </w:rPr>
        <w:t xml:space="preserve"> Noem eerst de bevinding uit deel 1 opnieuw ("weet je nog, de business case die nooit meer werd bekeken?"), laat deelnemers vervolgens zelf proberen te formuleren welk principe dat zou voorkomen, en onthul dan pas de officiële naam en formulering. Dit werkt beter dan andersom, omdat het de indruk vermijdt dat principes abstracte theorie zijn.</w:t>
      </w:r>
    </w:p>
    <w:p>
      <w:pPr>
        <w:pStyle w:val="ListParagraph"/>
        <w:numPr>
          <w:ilvl w:val="0"/>
          <w:numId w:val="1"/>
        </w:numPr>
        <w:spacing w:after="100" w:line="280"/>
      </w:pPr>
      <w:r>
        <w:rPr>
          <w:rFonts w:ascii="Calibri" w:cs="Calibri" w:eastAsia="Calibri" w:hAnsi="Calibri"/>
          <w:b/>
          <w:bCs/>
          <w:sz w:val="22"/>
          <w:szCs w:val="22"/>
        </w:rPr>
        <w:t xml:space="preserve">Wees expliciet over de drie-lagen-structuur (§1) vóórdat je de principes induikt.</w:t>
      </w:r>
      <w:r>
        <w:rPr>
          <w:rFonts w:ascii="Calibri" w:cs="Calibri" w:eastAsia="Calibri" w:hAnsi="Calibri"/>
          <w:sz w:val="22"/>
          <w:szCs w:val="22"/>
        </w:rPr>
        <w:t xml:space="preserve"> Dit is de meest voorkomende bron van verwarring bij zowel Foundation- als Practitioner-kandidaten: mensen "tailoren" onbewust een principe weg omdat ze niet weten dat dat niet mag. Zeg het letterlijk: "wat je vandaag leert, mag nooit worden aangepast; wat je in deel 3–6 leert, mag en moet vaak wél worden aangepast."</w:t>
      </w:r>
    </w:p>
    <w:p>
      <w:pPr>
        <w:pStyle w:val="ListParagraph"/>
        <w:numPr>
          <w:ilvl w:val="0"/>
          <w:numId w:val="1"/>
        </w:numPr>
        <w:spacing w:after="100" w:line="280"/>
      </w:pPr>
      <w:r>
        <w:rPr>
          <w:rFonts w:ascii="Calibri" w:cs="Calibri" w:eastAsia="Calibri" w:hAnsi="Calibri"/>
          <w:b/>
          <w:bCs/>
          <w:sz w:val="22"/>
          <w:szCs w:val="22"/>
        </w:rPr>
        <w:t xml:space="preserve">Bij de koppeling bevinding 6 → principe 2 (learn from experience) en bevinding 7 → principe 7 (tailor to suit the project) is de redenering minder vanzelfsprekend dan bij de andere vijf.</w:t>
      </w:r>
      <w:r>
        <w:rPr>
          <w:rFonts w:ascii="Calibri" w:cs="Calibri" w:eastAsia="Calibri" w:hAnsi="Calibri"/>
          <w:sz w:val="22"/>
          <w:szCs w:val="22"/>
        </w:rPr>
        <w:t xml:space="preserve"> Neem hier bewust de tijd voor en laat deelnemers meedenken vóór je de reader-redenering onthult — een discussie hierover is waardevoller dan een snelle "dit is het antwoord". Er is geen absoluut foute tegenwerping; als een deelnemer bevinding 6 liever aan principe 3 koppelt (rollen/eigenaarschap) of bevinding 7 liever aan principe 1 (business case), is dat verdedigbaar. Gebruik opdracht 2.2 om precies dít gesprek te faciliteren.</w:t>
      </w:r>
    </w:p>
    <w:p>
      <w:pPr>
        <w:pStyle w:val="ListParagraph"/>
        <w:numPr>
          <w:ilvl w:val="0"/>
          <w:numId w:val="1"/>
        </w:numPr>
        <w:spacing w:after="100" w:line="280"/>
      </w:pPr>
      <w:r>
        <w:rPr>
          <w:rFonts w:ascii="Calibri" w:cs="Calibri" w:eastAsia="Calibri" w:hAnsi="Calibri"/>
          <w:b/>
          <w:bCs/>
          <w:sz w:val="22"/>
          <w:szCs w:val="22"/>
        </w:rPr>
        <w:t xml:space="preserve">Het People-element en sustainability zijn nieuw ten opzichte van PRINCE2 6.</w:t>
      </w:r>
      <w:r>
        <w:rPr>
          <w:rFonts w:ascii="Calibri" w:cs="Calibri" w:eastAsia="Calibri" w:hAnsi="Calibri"/>
          <w:sz w:val="22"/>
          <w:szCs w:val="22"/>
        </w:rPr>
        <w:t xml:space="preserve"> Voor deelnemers die eerder met de zesde editie hebben gewerkt (of daarover hebben gehoord) is dit een goed moment om expliciet te benoemen wat er is veranderd — dat voorkomt verwarring bij het zelfstandig raadplegen van oudere bronnen.</w:t>
      </w:r>
    </w:p>
    <w:p>
      <w:pPr>
        <w:pStyle w:val="ListParagraph"/>
        <w:numPr>
          <w:ilvl w:val="0"/>
          <w:numId w:val="1"/>
        </w:numPr>
        <w:spacing w:after="100" w:line="280"/>
      </w:pPr>
      <w:r>
        <w:rPr>
          <w:rFonts w:ascii="Calibri" w:cs="Calibri" w:eastAsia="Calibri" w:hAnsi="Calibri"/>
          <w:b/>
          <w:bCs/>
          <w:sz w:val="22"/>
          <w:szCs w:val="22"/>
        </w:rPr>
        <w:t xml:space="preserve">Opdracht 2.3 is het zwaartepunt van dit deel voor de Practitioner-voorbereiding.</w:t>
      </w:r>
      <w:r>
        <w:rPr>
          <w:rFonts w:ascii="Calibri" w:cs="Calibri" w:eastAsia="Calibri" w:hAnsi="Calibri"/>
          <w:sz w:val="22"/>
          <w:szCs w:val="22"/>
        </w:rPr>
        <w:t xml:space="preserve"> Dit type vraag — "is dit tailoring of een schending?" — komt vrijwel letterlijk terug in het Practitioner-examen. Neem er de tijd voor en laat deelnemers hardop beargumenteren, niet alleen het label kiezen.</w:t>
      </w:r>
    </w:p>
    <w:p>
      <w:pPr>
        <w:pStyle w:val="Heading2"/>
        <w:spacing w:after="120" w:before="200"/>
      </w:pPr>
      <w:r>
        <w:rPr>
          <w:rFonts w:ascii="Georgia" w:cs="Georgia" w:eastAsia="Georgia" w:hAnsi="Georgia"/>
          <w:b/>
          <w:bCs/>
          <w:color w:val="2563A8"/>
          <w:sz w:val="28"/>
          <w:szCs w:val="28"/>
        </w:rPr>
        <w:t xml:space="preserve">Modelantwoorden — Opdracht 2.1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Principe (1 — ensure continued business justification)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Geen principe — dit is een goede gewoonte die past bij het People-element en bij de Organizing-practice (deel 3), maar staat niet als zelfstandig principe genoemd</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Principe (4 — manage by stages)</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Geen principe — dit is een tailoring-keuze binnen de Progress-practice (deel 6), niet verplicht voor elk project</w:t>
      </w:r>
    </w:p>
    <w:p>
      <w:pPr>
        <w:spacing w:after="120" w:line="280"/>
        <w:ind w:left="360" w:hanging="360"/>
      </w:pPr>
      <w:r>
        <w:rPr>
          <w:rFonts w:ascii="Calibri" w:cs="Calibri" w:eastAsia="Calibri" w:hAnsi="Calibri"/>
          <w:b/>
          <w:bCs/>
          <w:color w:val="2563A8"/>
          <w:sz w:val="22"/>
          <w:szCs w:val="22"/>
        </w:rPr>
        <w:t xml:space="preserve">e. </w:t>
      </w:r>
      <w:r>
        <w:rPr>
          <w:rFonts w:ascii="Calibri" w:cs="Calibri" w:eastAsia="Calibri" w:hAnsi="Calibri"/>
          <w:sz w:val="22"/>
          <w:szCs w:val="22"/>
        </w:rPr>
        <w:t xml:space="preserve">Principe (6 — focus on products)</w:t>
      </w:r>
    </w:p>
    <w:p>
      <w:pPr>
        <w:spacing w:after="120" w:line="280"/>
        <w:ind w:left="360" w:hanging="360"/>
      </w:pPr>
      <w:r>
        <w:rPr>
          <w:rFonts w:ascii="Calibri" w:cs="Calibri" w:eastAsia="Calibri" w:hAnsi="Calibri"/>
          <w:b/>
          <w:bCs/>
          <w:color w:val="2563A8"/>
          <w:sz w:val="22"/>
          <w:szCs w:val="22"/>
        </w:rPr>
        <w:t xml:space="preserve">f. </w:t>
      </w:r>
      <w:r>
        <w:rPr>
          <w:rFonts w:ascii="Calibri" w:cs="Calibri" w:eastAsia="Calibri" w:hAnsi="Calibri"/>
          <w:sz w:val="22"/>
          <w:szCs w:val="22"/>
        </w:rPr>
        <w:t xml:space="preserve">Principe (5 — manage by exception)</w:t>
      </w:r>
    </w:p>
    <w:p>
      <w:pPr>
        <w:spacing w:after="120" w:line="280"/>
        <w:ind w:left="360" w:hanging="360"/>
      </w:pPr>
      <w:r>
        <w:rPr>
          <w:rFonts w:ascii="Calibri" w:cs="Calibri" w:eastAsia="Calibri" w:hAnsi="Calibri"/>
          <w:b/>
          <w:bCs/>
          <w:color w:val="2563A8"/>
          <w:sz w:val="22"/>
          <w:szCs w:val="22"/>
        </w:rPr>
        <w:t xml:space="preserve">g. </w:t>
      </w:r>
      <w:r>
        <w:rPr>
          <w:rFonts w:ascii="Calibri" w:cs="Calibri" w:eastAsia="Calibri" w:hAnsi="Calibri"/>
          <w:sz w:val="22"/>
          <w:szCs w:val="22"/>
        </w:rPr>
        <w:t xml:space="preserve">Geen principe — dit is een techniek binnen de Risk-practice (deel 6)</w:t>
      </w:r>
    </w:p>
    <w:p>
      <w:pPr>
        <w:spacing w:after="120" w:line="280"/>
        <w:ind w:left="360" w:hanging="360"/>
      </w:pPr>
      <w:r>
        <w:rPr>
          <w:rFonts w:ascii="Calibri" w:cs="Calibri" w:eastAsia="Calibri" w:hAnsi="Calibri"/>
          <w:b/>
          <w:bCs/>
          <w:color w:val="2563A8"/>
          <w:sz w:val="22"/>
          <w:szCs w:val="22"/>
        </w:rPr>
        <w:t xml:space="preserve">h. </w:t>
      </w:r>
      <w:r>
        <w:rPr>
          <w:rFonts w:ascii="Calibri" w:cs="Calibri" w:eastAsia="Calibri" w:hAnsi="Calibri"/>
          <w:sz w:val="22"/>
          <w:szCs w:val="22"/>
        </w:rPr>
        <w:t xml:space="preserve">Principe (7 — tailor to suit the project)</w:t>
      </w:r>
    </w:p>
    <w:p>
      <w:pPr>
        <w:pStyle w:val="Heading2"/>
        <w:spacing w:after="120" w:before="200"/>
      </w:pPr>
      <w:r>
        <w:rPr>
          <w:rFonts w:ascii="Georgia" w:cs="Georgia" w:eastAsia="Georgia" w:hAnsi="Georgia"/>
          <w:b/>
          <w:bCs/>
          <w:color w:val="2563A8"/>
          <w:sz w:val="28"/>
          <w:szCs w:val="28"/>
        </w:rPr>
        <w:t xml:space="preserve">Modelantwoorden — Opdracht 2.2</w:t>
      </w:r>
    </w:p>
    <w:p>
      <w:pPr>
        <w:spacing w:after="140" w:line="300"/>
      </w:pPr>
      <w:r>
        <w:rPr>
          <w:rFonts w:ascii="Calibri" w:cs="Calibri" w:eastAsia="Calibri" w:hAnsi="Calibri"/>
          <w:sz w:val="22"/>
          <w:szCs w:val="22"/>
        </w:rPr>
        <w:t xml:space="preserve">Zie reader §2 voor de hoofdredenering. Laat vooral ruimte voor alternatieve, beargumenteerde koppelingen bij bevinding 2/3/6 (rollen en eigenaarschap raken zowel principe 2 als 3) — het doel van de opdracht is het onderscheidingsvermogen, niet het reproduceren van één "juist" antwoord.</w:t>
      </w:r>
    </w:p>
    <w:p>
      <w:pPr>
        <w:pStyle w:val="Heading2"/>
        <w:spacing w:after="120" w:before="200"/>
      </w:pPr>
      <w:r>
        <w:rPr>
          <w:rFonts w:ascii="Georgia" w:cs="Georgia" w:eastAsia="Georgia" w:hAnsi="Georgia"/>
          <w:b/>
          <w:bCs/>
          <w:color w:val="2563A8"/>
          <w:sz w:val="28"/>
          <w:szCs w:val="28"/>
        </w:rPr>
        <w:t xml:space="preserve">Modelantwoorden — Opdracht 2.3</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Legitieme tailoring — rolcombinatie bij een klein project is een expliciet genoemd voorbeeld in de PRINCE2-guidance; de functie van beide rollen blijft aanwezig, alleen in één persoon.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Principeschending — dit raakt direct principe 5 (manage by exception); zonder toleranties is er geen besturingsmechanisme meer, ongeacht hoe het wordt verwoord ("als het echt nodig is" is geen tolerantie).</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Legitieme tailoring — de vorm verandert (mondeling i.p.v. schriftelijk), de functie (voortgangsinzicht voor de stuurgroep) blijft behouden, mits ook daadwerkelijk vastgelegd wordt wat is besproken.</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Principeschending — dit is een directe schending van principe 1; een business case die nooit wordt herzien, is geen levende bedrijfsrechtvaardiging meer.</w:t>
      </w:r>
    </w:p>
    <w:p>
      <w:pPr>
        <w:spacing w:after="120" w:line="280"/>
        <w:ind w:left="360" w:hanging="360"/>
      </w:pPr>
      <w:r>
        <w:rPr>
          <w:rFonts w:ascii="Calibri" w:cs="Calibri" w:eastAsia="Calibri" w:hAnsi="Calibri"/>
          <w:b/>
          <w:bCs/>
          <w:color w:val="2563A8"/>
          <w:sz w:val="22"/>
          <w:szCs w:val="22"/>
        </w:rPr>
        <w:t xml:space="preserve">e. </w:t>
      </w:r>
      <w:r>
        <w:rPr>
          <w:rFonts w:ascii="Calibri" w:cs="Calibri" w:eastAsia="Calibri" w:hAnsi="Calibri"/>
          <w:sz w:val="22"/>
          <w:szCs w:val="22"/>
        </w:rPr>
        <w:t xml:space="preserve">Legitieme tailoring — puur terminologie, functie en inhoud blijven identiek.</w:t>
      </w:r>
    </w:p>
    <w:p>
      <w:pPr>
        <w:spacing w:after="120" w:line="280"/>
        <w:ind w:left="360" w:hanging="360"/>
      </w:pPr>
      <w:r>
        <w:rPr>
          <w:rFonts w:ascii="Calibri" w:cs="Calibri" w:eastAsia="Calibri" w:hAnsi="Calibri"/>
          <w:b/>
          <w:bCs/>
          <w:color w:val="2563A8"/>
          <w:sz w:val="22"/>
          <w:szCs w:val="22"/>
        </w:rPr>
        <w:t xml:space="preserve">f. </w:t>
      </w:r>
      <w:r>
        <w:rPr>
          <w:rFonts w:ascii="Calibri" w:cs="Calibri" w:eastAsia="Calibri" w:hAnsi="Calibri"/>
          <w:sz w:val="22"/>
          <w:szCs w:val="22"/>
        </w:rPr>
        <w:t xml:space="preserve">Principeschending — dit raakt principe 4 rechtstreeks; nul faseovergangen bij een project van veertien maanden verwijdert het enige ingebouwde besturingsmoment.</w:t>
      </w:r>
    </w:p>
    <w:p>
      <w:pPr>
        <w:pStyle w:val="Heading2"/>
        <w:spacing w:after="120" w:before="200"/>
      </w:pPr>
      <w:r>
        <w:rPr>
          <w:rFonts w:ascii="Georgia" w:cs="Georgia" w:eastAsia="Georgia" w:hAnsi="Georgia"/>
          <w:b/>
          <w:bCs/>
          <w:color w:val="2563A8"/>
          <w:sz w:val="28"/>
          <w:szCs w:val="28"/>
        </w:rPr>
        <w:t xml:space="preserve">Modelantwoorden — Opdracht 2.4</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Mogelijke acties: een expliciete escalatietraining of -afspraak met de stuurgroep vóór de start ("wanneer grijpen we in, en hoe voelt dat"), of een korte stakeholderanalyse die niet alleen posities maar ook onderliggende zorgen en vertrouwensrelaties in kaart brengt — beide zijn voorbeelden van People-technieken die in PRINCE2 6 ontbraken.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Voorbeeld: de toegankelijkheid van het portaal voor werkgevers met beperkte digitale vaardigheid (sociale dimensie van duurzaamheid) — dit zou als expliciete tolerantie moeten worden vastgelegd, omdat het anders — net als bij baten in bevinding 7 — een vage intentie blijft die nooit wordt getoetst.</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"Mag je echt nooit een principe tailoren, ook niet bij een heel klein project?"</w:t>
      </w:r>
      <w:r>
        <w:rPr>
          <w:rFonts w:ascii="Calibri" w:cs="Calibri" w:eastAsia="Calibri" w:hAnsi="Calibri"/>
          <w:sz w:val="22"/>
          <w:szCs w:val="22"/>
        </w:rPr>
        <w:t xml:space="preserve"> Nee — de omvang van een project bepaalt hóe zwaar een principe wordt ingevuld (bijvoorbeeld: bij een project van twee weken bestaat "manage by stages" misschien uit twee fasen in plaats van tien), maar het principe zelf blijft aanwezig.</w:t>
      </w:r>
    </w:p>
    <w:p>
      <w:pPr>
        <w:pStyle w:val="ListParagraph"/>
        <w:numPr>
          <w:ilvl w:val="0"/>
          <w:numId w:val="1"/>
        </w:numPr>
        <w:spacing w:after="100" w:line="280"/>
      </w:pPr>
      <w:r>
        <w:rPr>
          <w:rFonts w:ascii="Calibri" w:cs="Calibri" w:eastAsia="Calibri" w:hAnsi="Calibri"/>
          <w:i/>
          <w:iCs/>
          <w:sz w:val="22"/>
          <w:szCs w:val="22"/>
        </w:rPr>
        <w:t xml:space="preserve">"Is het People-element een achtste principe?"</w:t>
      </w:r>
      <w:r>
        <w:rPr>
          <w:rFonts w:ascii="Calibri" w:cs="Calibri" w:eastAsia="Calibri" w:hAnsi="Calibri"/>
          <w:sz w:val="22"/>
          <w:szCs w:val="22"/>
        </w:rPr>
        <w:t xml:space="preserve"> Nee, expliciet niet — het is een element dat door de bestaande principes, practices en processen heen loopt, geen zelfstandige achtste toevoeging. Dit is een bekende verwarring en de moeite waard om hardop recht te zetten.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2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2026-08-17T07:46:46.900Z</dcterms:created>
  <dcterms:modified xsi:type="dcterms:W3CDTF">2026-08-17T07:46:46.900Z</dcterms:modified>
</cp:coreProperties>
</file>

<file path=docProps/custom.xml><?xml version="1.0" encoding="utf-8"?>
<Properties xmlns="http://schemas.openxmlformats.org/officeDocument/2006/custom-properties" xmlns:vt="http://schemas.openxmlformats.org/officeDocument/2006/docPropsVTypes"/>
</file>