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 — De zeven principes van PRINCE2 7</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1. Van bevinding naar principe</w:t>
      </w:r>
    </w:p>
    <w:p>
      <w:pPr>
        <w:spacing w:after="140" w:line="300"/>
      </w:pPr>
      <w:r>
        <w:rPr>
          <w:rFonts w:ascii="Calibri" w:cs="Calibri" w:eastAsia="Calibri" w:hAnsi="Calibri"/>
          <w:sz w:val="22"/>
          <w:szCs w:val="22"/>
        </w:rPr>
        <w:t xml:space="preserve">In deel 1 zijn zeven bevindingen uit de WGP 2.0 post-mortem op tafel gekomen. Dat aantal was geen toeval: PRINCE2 7 kent precies zeven principes, en principes zijn — anders dan alles wat verderop in deze cursus volgt — </w:t>
      </w:r>
      <w:r>
        <w:rPr>
          <w:rFonts w:ascii="Calibri" w:cs="Calibri" w:eastAsia="Calibri" w:hAnsi="Calibri"/>
          <w:b/>
          <w:bCs/>
          <w:sz w:val="22"/>
          <w:szCs w:val="22"/>
        </w:rPr>
        <w:t xml:space="preserve">niet onderhandelbaar</w:t>
      </w:r>
      <w:r>
        <w:rPr>
          <w:rFonts w:ascii="Calibri" w:cs="Calibri" w:eastAsia="Calibri" w:hAnsi="Calibri"/>
          <w:sz w:val="22"/>
          <w:szCs w:val="22"/>
        </w:rPr>
        <w:t xml:space="preserve">. Een project waarin ook maar één van de zeven principes ontbreekt, is geen PRINCE2-project, hoeveel PRINCE2-documentsjablonen er ook worden gebruikt.</w:t>
      </w:r>
    </w:p>
    <w:p>
      <w:pPr>
        <w:spacing w:after="140" w:line="300"/>
      </w:pPr>
      <w:r>
        <w:rPr>
          <w:rFonts w:ascii="Calibri" w:cs="Calibri" w:eastAsia="Calibri" w:hAnsi="Calibri"/>
          <w:sz w:val="22"/>
          <w:szCs w:val="22"/>
        </w:rPr>
        <w:t xml:space="preserve">Dat is meteen de eerste examenval, in zowel Foundation als Practitioner: PRINCE2 kent drie lagen die je uit elkaar moet houden.</w:t>
      </w:r>
    </w:p>
    <w:p>
      <w:pPr>
        <w:pStyle w:val="ListParagraph"/>
        <w:numPr>
          <w:ilvl w:val="0"/>
          <w:numId w:val="1"/>
        </w:numPr>
        <w:spacing w:after="100" w:line="280"/>
      </w:pPr>
      <w:r>
        <w:rPr>
          <w:rFonts w:ascii="Calibri" w:cs="Calibri" w:eastAsia="Calibri" w:hAnsi="Calibri"/>
          <w:b/>
          <w:bCs/>
          <w:sz w:val="22"/>
          <w:szCs w:val="22"/>
        </w:rPr>
        <w:t xml:space="preserve">Principes</w:t>
      </w:r>
      <w:r>
        <w:rPr>
          <w:rFonts w:ascii="Calibri" w:cs="Calibri" w:eastAsia="Calibri" w:hAnsi="Calibri"/>
          <w:sz w:val="22"/>
          <w:szCs w:val="22"/>
        </w:rPr>
        <w:t xml:space="preserve"> — universeel, gelden altijd, kunnen niet worden aangepast.</w:t>
      </w:r>
    </w:p>
    <w:p>
      <w:pPr>
        <w:pStyle w:val="ListParagraph"/>
        <w:numPr>
          <w:ilvl w:val="0"/>
          <w:numId w:val="1"/>
        </w:numPr>
        <w:spacing w:after="100" w:line="280"/>
      </w:pPr>
      <w:r>
        <w:rPr>
          <w:rFonts w:ascii="Calibri" w:cs="Calibri" w:eastAsia="Calibri" w:hAnsi="Calibri"/>
          <w:b/>
          <w:bCs/>
          <w:sz w:val="22"/>
          <w:szCs w:val="22"/>
        </w:rPr>
        <w:t xml:space="preserve">Practices</w:t>
      </w:r>
      <w:r>
        <w:rPr>
          <w:rFonts w:ascii="Calibri" w:cs="Calibri" w:eastAsia="Calibri" w:hAnsi="Calibri"/>
          <w:sz w:val="22"/>
          <w:szCs w:val="22"/>
        </w:rPr>
        <w:t xml:space="preserve"> (voorheen "themes") en </w:t>
      </w:r>
      <w:r>
        <w:rPr>
          <w:rFonts w:ascii="Calibri" w:cs="Calibri" w:eastAsia="Calibri" w:hAnsi="Calibri"/>
          <w:b/>
          <w:bCs/>
          <w:sz w:val="22"/>
          <w:szCs w:val="22"/>
        </w:rPr>
        <w:t xml:space="preserve">processen</w:t>
      </w:r>
      <w:r>
        <w:rPr>
          <w:rFonts w:ascii="Calibri" w:cs="Calibri" w:eastAsia="Calibri" w:hAnsi="Calibri"/>
          <w:sz w:val="22"/>
          <w:szCs w:val="22"/>
        </w:rPr>
        <w:t xml:space="preserve"> — worden wél getailord: op maat gemaakt naar de omvang, complexiteit en context van het project.</w:t>
      </w:r>
    </w:p>
    <w:p>
      <w:pPr>
        <w:pStyle w:val="ListParagraph"/>
        <w:numPr>
          <w:ilvl w:val="0"/>
          <w:numId w:val="1"/>
        </w:numPr>
        <w:spacing w:after="100" w:line="280"/>
      </w:pPr>
      <w:r>
        <w:rPr>
          <w:rFonts w:ascii="Calibri" w:cs="Calibri" w:eastAsia="Calibri" w:hAnsi="Calibri"/>
          <w:b/>
          <w:bCs/>
          <w:sz w:val="22"/>
          <w:szCs w:val="22"/>
        </w:rPr>
        <w:t xml:space="preserve">Management producten en terminologie</w:t>
      </w:r>
      <w:r>
        <w:rPr>
          <w:rFonts w:ascii="Calibri" w:cs="Calibri" w:eastAsia="Calibri" w:hAnsi="Calibri"/>
          <w:sz w:val="22"/>
          <w:szCs w:val="22"/>
        </w:rPr>
        <w:t xml:space="preserve"> — het meest flexibel: een organisatie mag een "business case" best "projectcase" noemen, zolang de onderliggende functie intact blijft.</w:t>
      </w:r>
    </w:p>
    <w:p>
      <w:pPr>
        <w:spacing w:after="140" w:line="300"/>
      </w:pPr>
      <w:r>
        <w:rPr>
          <w:rFonts w:ascii="Calibri" w:cs="Calibri" w:eastAsia="Calibri" w:hAnsi="Calibri"/>
          <w:sz w:val="22"/>
          <w:szCs w:val="22"/>
        </w:rPr>
        <w:t xml:space="preserve">Onthoud die volgorde. In dit deel behandelen we de zeven principes, en koppelen we ze — zoals beloofd — terug aan de zeven bevindingen uit deel 1.</w:t>
      </w:r>
    </w:p>
    <w:p>
      <w:pPr>
        <w:pStyle w:val="Heading2"/>
        <w:spacing w:after="120" w:before="200"/>
      </w:pPr>
      <w:r>
        <w:rPr>
          <w:rFonts w:ascii="Georgia" w:cs="Georgia" w:eastAsia="Georgia" w:hAnsi="Georgia"/>
          <w:b/>
          <w:bCs/>
          <w:color w:val="2563A8"/>
          <w:sz w:val="28"/>
          <w:szCs w:val="28"/>
        </w:rPr>
        <w:t xml:space="preserve">2. De zeven principes</w:t>
      </w:r>
    </w:p>
    <w:p>
      <w:pPr>
        <w:spacing w:after="140" w:line="300"/>
      </w:pPr>
      <w:r>
        <w:rPr>
          <w:rFonts w:ascii="Calibri" w:cs="Calibri" w:eastAsia="Calibri" w:hAnsi="Calibri"/>
          <w:b/>
          <w:bCs/>
          <w:sz w:val="22"/>
          <w:szCs w:val="22"/>
        </w:rPr>
        <w:t xml:space="preserve">1. Ensure continued business justification (borg voortdurende bedrijfsrechtvaardiging).</w:t>
      </w:r>
    </w:p>
    <w:p>
      <w:pPr>
        <w:spacing w:after="140" w:line="300"/>
      </w:pPr>
      <w:r>
        <w:rPr>
          <w:rFonts w:ascii="Calibri" w:cs="Calibri" w:eastAsia="Calibri" w:hAnsi="Calibri"/>
          <w:sz w:val="22"/>
          <w:szCs w:val="22"/>
        </w:rPr>
        <w:t xml:space="preserve">Een project mag alleen doorgaan zolang het wenselijk, haalbaar en levensvatbaar blijft. Dat is geen eenmalige toets bij de start, maar een doorlopende: bij elke faseovergang wordt de business case opnieuw beoordeeld. Verandert de situatie zodanig dat het project niet langer gerechtvaardigd is, dan moet het gestopt worden — ook als er al veel in is geïnvesteerd.</w:t>
      </w:r>
    </w:p>
    <w:p>
      <w:pPr>
        <w:spacing w:after="140" w:line="300"/>
      </w:pPr>
      <w:r>
        <w:rPr>
          <w:rFonts w:ascii="Calibri" w:cs="Calibri" w:eastAsia="Calibri" w:hAnsi="Calibri"/>
          <w:sz w:val="22"/>
          <w:szCs w:val="22"/>
        </w:rPr>
        <w:t xml:space="preserve">→ </w:t>
      </w:r>
      <w:r>
        <w:rPr>
          <w:rFonts w:ascii="Calibri" w:cs="Calibri" w:eastAsia="Calibri" w:hAnsi="Calibri"/>
          <w:b/>
          <w:bCs/>
          <w:sz w:val="22"/>
          <w:szCs w:val="22"/>
        </w:rPr>
        <w:t xml:space="preserve">Sluit bevinding 1</w:t>
      </w:r>
      <w:r>
        <w:rPr>
          <w:rFonts w:ascii="Calibri" w:cs="Calibri" w:eastAsia="Calibri" w:hAnsi="Calibri"/>
          <w:sz w:val="22"/>
          <w:szCs w:val="22"/>
        </w:rPr>
        <w:t xml:space="preserve">: bij WGP 2.0 werd de business case bij de start geschreven en daarna nooit meer geraadpleegd. Onder dit principe was dat per definitie geen PRINCE2.</w:t>
      </w:r>
    </w:p>
    <w:p>
      <w:pPr>
        <w:spacing w:after="140" w:line="300"/>
      </w:pPr>
      <w:r>
        <w:rPr>
          <w:rFonts w:ascii="Calibri" w:cs="Calibri" w:eastAsia="Calibri" w:hAnsi="Calibri"/>
          <w:b/>
          <w:bCs/>
          <w:sz w:val="22"/>
          <w:szCs w:val="22"/>
        </w:rPr>
        <w:t xml:space="preserve">2. Learn from experience (leer van ervaring).</w:t>
      </w:r>
    </w:p>
    <w:p>
      <w:pPr>
        <w:spacing w:after="140" w:line="300"/>
      </w:pPr>
      <w:r>
        <w:rPr>
          <w:rFonts w:ascii="Calibri" w:cs="Calibri" w:eastAsia="Calibri" w:hAnsi="Calibri"/>
          <w:sz w:val="22"/>
          <w:szCs w:val="22"/>
        </w:rPr>
        <w:t xml:space="preserve">Elk PRINCE2-project moet lessen zoeken bij het begin, vastleggen tijdens de uitvoering, en doorgeven bij afsluiting — voor zichzelf én voor toekomstige projecten. Dit is geen documentatieplicht maar een gedragsprincipe: een lessenlog die niemand ooit inziet, voldoet er niet aan.</w:t>
      </w:r>
    </w:p>
    <w:p>
      <w:pPr>
        <w:spacing w:after="140" w:line="300"/>
      </w:pPr>
      <w:r>
        <w:rPr>
          <w:rFonts w:ascii="Calibri" w:cs="Calibri" w:eastAsia="Calibri" w:hAnsi="Calibri"/>
          <w:sz w:val="22"/>
          <w:szCs w:val="22"/>
        </w:rPr>
        <w:t xml:space="preserve">→ </w:t>
      </w:r>
      <w:r>
        <w:rPr>
          <w:rFonts w:ascii="Calibri" w:cs="Calibri" w:eastAsia="Calibri" w:hAnsi="Calibri"/>
          <w:b/>
          <w:bCs/>
          <w:sz w:val="22"/>
          <w:szCs w:val="22"/>
        </w:rPr>
        <w:t xml:space="preserve">Sluit bevinding 6</w:t>
      </w:r>
      <w:r>
        <w:rPr>
          <w:rFonts w:ascii="Calibri" w:cs="Calibri" w:eastAsia="Calibri" w:hAnsi="Calibri"/>
          <w:sz w:val="22"/>
          <w:szCs w:val="22"/>
        </w:rPr>
        <w:t xml:space="preserve">: het risicoregister van WGP 2.0 bevatte de juiste risico's, maar functioneerde niet als een levend document — risico's die zich voordeden, werden niet vastgelegd als lering voor de rest van het project of voor toekomstige projecten. Een risicoregister zonder terugkoppeling is een lijst, geen leerproces.</w:t>
      </w:r>
    </w:p>
    <w:p>
      <w:pPr>
        <w:spacing w:after="140" w:line="300"/>
      </w:pPr>
      <w:r>
        <w:rPr>
          <w:rFonts w:ascii="Calibri" w:cs="Calibri" w:eastAsia="Calibri" w:hAnsi="Calibri"/>
          <w:b/>
          <w:bCs/>
          <w:sz w:val="22"/>
          <w:szCs w:val="22"/>
        </w:rPr>
        <w:t xml:space="preserve">3. Define roles, responsibilities, and relationships (definieer rollen, verantwoordelijkheden en relaties).</w:t>
      </w:r>
    </w:p>
    <w:p>
      <w:pPr>
        <w:spacing w:after="140" w:line="300"/>
      </w:pPr>
      <w:r>
        <w:rPr>
          <w:rFonts w:ascii="Calibri" w:cs="Calibri" w:eastAsia="Calibri" w:hAnsi="Calibri"/>
          <w:sz w:val="22"/>
          <w:szCs w:val="22"/>
        </w:rPr>
        <w:t xml:space="preserve">Elk PRINCE2-project heeft een gedefinieerde en overeengekomen structuur van verantwoordelijkheid, met vertegenwoordiging van drie belangen: de business (waarom), de gebruiker (voor wie) en de leverancier (hoe). Dit gaat verder dan een organogram: het gaat om wíe welk besluit mag nemen, en welke relatie die partijen tot elkaar hebben.</w:t>
      </w:r>
    </w:p>
    <w:p>
      <w:pPr>
        <w:spacing w:after="140" w:line="300"/>
      </w:pPr>
      <w:r>
        <w:rPr>
          <w:rFonts w:ascii="Calibri" w:cs="Calibri" w:eastAsia="Calibri" w:hAnsi="Calibri"/>
          <w:sz w:val="22"/>
          <w:szCs w:val="22"/>
        </w:rPr>
        <w:t xml:space="preserve">→ </w:t>
      </w:r>
      <w:r>
        <w:rPr>
          <w:rFonts w:ascii="Calibri" w:cs="Calibri" w:eastAsia="Calibri" w:hAnsi="Calibri"/>
          <w:b/>
          <w:bCs/>
          <w:sz w:val="22"/>
          <w:szCs w:val="22"/>
        </w:rPr>
        <w:t xml:space="preserve">Sluit bevinding 2</w:t>
      </w:r>
      <w:r>
        <w:rPr>
          <w:rFonts w:ascii="Calibri" w:cs="Calibri" w:eastAsia="Calibri" w:hAnsi="Calibri"/>
          <w:sz w:val="22"/>
          <w:szCs w:val="22"/>
        </w:rPr>
        <w:t xml:space="preserve">: de stuurgroep bij WGP 2.0 bestond wel — er waren mensen met de juiste titels — maar de rol was niet zo gedefinieerd dat ingrijpen ook daadwerkelijk mogelijk was. Rollen benoemen is niet hetzelfde als rollen met bevoegdheid inrichten.</w:t>
      </w:r>
    </w:p>
    <w:p>
      <w:pPr>
        <w:spacing w:after="140" w:line="300"/>
      </w:pPr>
      <w:r>
        <w:rPr>
          <w:rFonts w:ascii="Calibri" w:cs="Calibri" w:eastAsia="Calibri" w:hAnsi="Calibri"/>
          <w:b/>
          <w:bCs/>
          <w:sz w:val="22"/>
          <w:szCs w:val="22"/>
        </w:rPr>
        <w:t xml:space="preserve">4. Manage by stages (stuur via beheerste fasen).</w:t>
      </w:r>
    </w:p>
    <w:p>
      <w:pPr>
        <w:spacing w:after="140" w:line="300"/>
      </w:pPr>
      <w:r>
        <w:rPr>
          <w:rFonts w:ascii="Calibri" w:cs="Calibri" w:eastAsia="Calibri" w:hAnsi="Calibri"/>
          <w:sz w:val="22"/>
          <w:szCs w:val="22"/>
        </w:rPr>
        <w:t xml:space="preserve">Een project wordt opgeknipt in beheersbare fasen, elk afgesloten met een expliciet go/no-go-besluit door de stuurgroep voordat de volgende fase van start gaat. Hoe meer onzekerheid of risico, hoe korter de fasen.</w:t>
      </w:r>
    </w:p>
    <w:p>
      <w:pPr>
        <w:spacing w:after="140" w:line="300"/>
      </w:pPr>
      <w:r>
        <w:rPr>
          <w:rFonts w:ascii="Calibri" w:cs="Calibri" w:eastAsia="Calibri" w:hAnsi="Calibri"/>
          <w:sz w:val="22"/>
          <w:szCs w:val="22"/>
        </w:rPr>
        <w:t xml:space="preserve">→ </w:t>
      </w:r>
      <w:r>
        <w:rPr>
          <w:rFonts w:ascii="Calibri" w:cs="Calibri" w:eastAsia="Calibri" w:hAnsi="Calibri"/>
          <w:b/>
          <w:bCs/>
          <w:sz w:val="22"/>
          <w:szCs w:val="22"/>
        </w:rPr>
        <w:t xml:space="preserve">Sluit bevinding 3</w:t>
      </w:r>
      <w:r>
        <w:rPr>
          <w:rFonts w:ascii="Calibri" w:cs="Calibri" w:eastAsia="Calibri" w:hAnsi="Calibri"/>
          <w:sz w:val="22"/>
          <w:szCs w:val="22"/>
        </w:rPr>
        <w:t xml:space="preserve">: WGP 2.0 liep achttien maanden door in één fase. Er was simpelweg geen ingebouwd moment om te stoppen, ook niet toen daar goede redenen voor waren.</w:t>
      </w:r>
    </w:p>
    <w:p>
      <w:pPr>
        <w:spacing w:after="140" w:line="300"/>
      </w:pPr>
      <w:r>
        <w:rPr>
          <w:rFonts w:ascii="Calibri" w:cs="Calibri" w:eastAsia="Calibri" w:hAnsi="Calibri"/>
          <w:b/>
          <w:bCs/>
          <w:sz w:val="22"/>
          <w:szCs w:val="22"/>
        </w:rPr>
        <w:t xml:space="preserve">5. Manage by exception (stuur op uitzondering).</w:t>
      </w:r>
    </w:p>
    <w:p>
      <w:pPr>
        <w:spacing w:after="140" w:line="300"/>
      </w:pPr>
      <w:r>
        <w:rPr>
          <w:rFonts w:ascii="Calibri" w:cs="Calibri" w:eastAsia="Calibri" w:hAnsi="Calibri"/>
          <w:sz w:val="22"/>
          <w:szCs w:val="22"/>
        </w:rPr>
        <w:t xml:space="preserve">Voor elke laag in de projectorganisatie worden toleranties vastgesteld — marges voor tijd, geld, scope, kwaliteit, risico en (in de 7e editie) duurzaamheid. Zolang binnen die marges wordt gewerkt, hoeft er niet geëscaleerd te worden; de hogere laag bemoeit zich er niet mee. Wordt een tolerantie dreigen te overschrijden, dan is dat een uitzondering die automatisch en direct naar boven gaat.</w:t>
      </w:r>
    </w:p>
    <w:p>
      <w:pPr>
        <w:spacing w:after="140" w:line="300"/>
      </w:pPr>
      <w:r>
        <w:rPr>
          <w:rFonts w:ascii="Calibri" w:cs="Calibri" w:eastAsia="Calibri" w:hAnsi="Calibri"/>
          <w:sz w:val="22"/>
          <w:szCs w:val="22"/>
        </w:rPr>
        <w:t xml:space="preserve">→ </w:t>
      </w:r>
      <w:r>
        <w:rPr>
          <w:rFonts w:ascii="Calibri" w:cs="Calibri" w:eastAsia="Calibri" w:hAnsi="Calibri"/>
          <w:b/>
          <w:bCs/>
          <w:sz w:val="22"/>
          <w:szCs w:val="22"/>
        </w:rPr>
        <w:t xml:space="preserve">Sluit bevinding 5</w:t>
      </w:r>
      <w:r>
        <w:rPr>
          <w:rFonts w:ascii="Calibri" w:cs="Calibri" w:eastAsia="Calibri" w:hAnsi="Calibri"/>
          <w:sz w:val="22"/>
          <w:szCs w:val="22"/>
        </w:rPr>
        <w:t xml:space="preserve">: zonder afgesproken toleranties was er geen onderscheid tussen "een kleine afwijking die binnen mijn mandaat valt" en "een probleem dat naar de stuurgroep moet." Het gevolg: niets werd gemeld, tot alles moest.</w:t>
      </w:r>
    </w:p>
    <w:p>
      <w:pPr>
        <w:spacing w:after="140" w:line="300"/>
      </w:pPr>
      <w:r>
        <w:rPr>
          <w:rFonts w:ascii="Calibri" w:cs="Calibri" w:eastAsia="Calibri" w:hAnsi="Calibri"/>
          <w:b/>
          <w:bCs/>
          <w:sz w:val="22"/>
          <w:szCs w:val="22"/>
        </w:rPr>
        <w:t xml:space="preserve">6. Focus on products (focus op producten).</w:t>
      </w:r>
    </w:p>
    <w:p>
      <w:pPr>
        <w:spacing w:after="140" w:line="300"/>
      </w:pPr>
      <w:r>
        <w:rPr>
          <w:rFonts w:ascii="Calibri" w:cs="Calibri" w:eastAsia="Calibri" w:hAnsi="Calibri"/>
          <w:sz w:val="22"/>
          <w:szCs w:val="22"/>
        </w:rPr>
        <w:t xml:space="preserve">Een project definieert vooraf wélke producten (deliverables) moeten worden opgeleverd, met welke kwaliteitscriteria — vóórdat de activiteiten worden gepland die daartoe leiden. Plannen beginnen dus bij het resultaat, niet bij de taken.</w:t>
      </w:r>
    </w:p>
    <w:p>
      <w:pPr>
        <w:spacing w:after="140" w:line="300"/>
      </w:pPr>
      <w:r>
        <w:rPr>
          <w:rFonts w:ascii="Calibri" w:cs="Calibri" w:eastAsia="Calibri" w:hAnsi="Calibri"/>
          <w:sz w:val="22"/>
          <w:szCs w:val="22"/>
        </w:rPr>
        <w:t xml:space="preserve">→ </w:t>
      </w:r>
      <w:r>
        <w:rPr>
          <w:rFonts w:ascii="Calibri" w:cs="Calibri" w:eastAsia="Calibri" w:hAnsi="Calibri"/>
          <w:b/>
          <w:bCs/>
          <w:sz w:val="22"/>
          <w:szCs w:val="22"/>
        </w:rPr>
        <w:t xml:space="preserve">Sluit bevinding 4</w:t>
      </w:r>
      <w:r>
        <w:rPr>
          <w:rFonts w:ascii="Calibri" w:cs="Calibri" w:eastAsia="Calibri" w:hAnsi="Calibri"/>
          <w:sz w:val="22"/>
          <w:szCs w:val="22"/>
        </w:rPr>
        <w:t xml:space="preserve">: de planning van WGP 2.0 bestond uit activiteiten en deadlines ("analysefase gereed"), niet uit gedefinieerde producten met acceptatiecriteria. Niemand kon dus objectief vaststellen wanneer een fase écht klaar was.</w:t>
      </w:r>
    </w:p>
    <w:p>
      <w:pPr>
        <w:spacing w:after="140" w:line="300"/>
      </w:pPr>
      <w:r>
        <w:rPr>
          <w:rFonts w:ascii="Calibri" w:cs="Calibri" w:eastAsia="Calibri" w:hAnsi="Calibri"/>
          <w:b/>
          <w:bCs/>
          <w:sz w:val="22"/>
          <w:szCs w:val="22"/>
        </w:rPr>
        <w:t xml:space="preserve">7. Tailor to suit the project (pas toe op maat van het project).</w:t>
      </w:r>
    </w:p>
    <w:p>
      <w:pPr>
        <w:spacing w:after="140" w:line="300"/>
      </w:pPr>
      <w:r>
        <w:rPr>
          <w:rFonts w:ascii="Calibri" w:cs="Calibri" w:eastAsia="Calibri" w:hAnsi="Calibri"/>
          <w:sz w:val="22"/>
          <w:szCs w:val="22"/>
        </w:rPr>
        <w:t xml:space="preserve">PRINCE2 moet worden aangepast aan de omvang, complexiteit, risicoprofiel en context van het project — anders wordt het een bureaucratische last in plaats van een besturingsinstrument. Tailoring is een bewuste, beargumenteerde keuze, gedocumenteerd in het Project Initiation Document, niet een vrijblijvende interpretatie.</w:t>
      </w:r>
    </w:p>
    <w:p>
      <w:pPr>
        <w:spacing w:after="140" w:line="300"/>
      </w:pPr>
      <w:r>
        <w:rPr>
          <w:rFonts w:ascii="Calibri" w:cs="Calibri" w:eastAsia="Calibri" w:hAnsi="Calibri"/>
          <w:sz w:val="22"/>
          <w:szCs w:val="22"/>
        </w:rPr>
        <w:t xml:space="preserve">→ </w:t>
      </w:r>
      <w:r>
        <w:rPr>
          <w:rFonts w:ascii="Calibri" w:cs="Calibri" w:eastAsia="Calibri" w:hAnsi="Calibri"/>
          <w:b/>
          <w:bCs/>
          <w:sz w:val="22"/>
          <w:szCs w:val="22"/>
        </w:rPr>
        <w:t xml:space="preserve">Sluit bevinding 7</w:t>
      </w:r>
      <w:r>
        <w:rPr>
          <w:rFonts w:ascii="Calibri" w:cs="Calibri" w:eastAsia="Calibri" w:hAnsi="Calibri"/>
          <w:sz w:val="22"/>
          <w:szCs w:val="22"/>
        </w:rPr>
        <w:t xml:space="preserve">: batenrealisatie ligt per definitie deels buiten de looptijd van het project — de baten van WGP 2.0 zouden pas zichtbaar worden nadat werkgevers het portaal maandenlang gebruikten. Dat vereist een bewuste tailoring-keuze bij de start: wie meet de baten na oplevering, wanneer, en hoe wordt dat teruggekoppeld? Die keuze is bij WGP 2.0 nooit gemaakt, dus was er ook nooit een mechanisme om de baten te volgen.</w:t>
      </w:r>
    </w:p>
    <w:p>
      <w:pPr>
        <w:pStyle w:val="Heading2"/>
        <w:spacing w:after="120" w:before="200"/>
      </w:pPr>
      <w:r>
        <w:rPr>
          <w:rFonts w:ascii="Georgia" w:cs="Georgia" w:eastAsia="Georgia" w:hAnsi="Georgia"/>
          <w:b/>
          <w:bCs/>
          <w:color w:val="2563A8"/>
          <w:sz w:val="28"/>
          <w:szCs w:val="28"/>
        </w:rPr>
        <w:t xml:space="preserve">3. People: het nieuwe element</w:t>
      </w:r>
    </w:p>
    <w:p>
      <w:pPr>
        <w:spacing w:after="140" w:line="300"/>
      </w:pPr>
      <w:r>
        <w:rPr>
          <w:rFonts w:ascii="Calibri" w:cs="Calibri" w:eastAsia="Calibri" w:hAnsi="Calibri"/>
          <w:sz w:val="22"/>
          <w:szCs w:val="22"/>
        </w:rPr>
        <w:t xml:space="preserve">De belangrijkste inhoudelijke toevoeging van PRINCE2 7 is niet een achtste principe of practice, maar een expliciet </w:t>
      </w:r>
      <w:r>
        <w:rPr>
          <w:rFonts w:ascii="Calibri" w:cs="Calibri" w:eastAsia="Calibri" w:hAnsi="Calibri"/>
          <w:b/>
          <w:bCs/>
          <w:sz w:val="22"/>
          <w:szCs w:val="22"/>
        </w:rPr>
        <w:t xml:space="preserve">People-element</w:t>
      </w:r>
      <w:r>
        <w:rPr>
          <w:rFonts w:ascii="Calibri" w:cs="Calibri" w:eastAsia="Calibri" w:hAnsi="Calibri"/>
          <w:sz w:val="22"/>
          <w:szCs w:val="22"/>
        </w:rPr>
        <w:t xml:space="preserve"> dat door de hele methode heen loopt: stakeholderrelaties, leiderschap, cultuur en samenwerking. PRINCE2 6 ging ervan uit dat als de rollen, processen en documenten goed staan, het project vanzelf goed loopt. PRINCE2 7 erkent dat een methode alleen werkt als de mensen die haar toepassen ook daadwerkelijk effectief samenwerken — en besteedt daar nu expliciet aandacht aan, onder meer in de vorm van technieken voor stakeholderanalyse en teamontwikkeling die in de zesde editie ontbraken.</w:t>
      </w:r>
    </w:p>
    <w:p>
      <w:pPr>
        <w:spacing w:after="140" w:line="300"/>
      </w:pPr>
      <w:r>
        <w:rPr>
          <w:rFonts w:ascii="Calibri" w:cs="Calibri" w:eastAsia="Calibri" w:hAnsi="Calibri"/>
          <w:sz w:val="22"/>
          <w:szCs w:val="22"/>
        </w:rPr>
        <w:t xml:space="preserve">Voor WGP 2.0 is dit relevant: technisch gezien waren rollen benoemd (bevinding 2), maar de onderlinge relatie tussen stuurgroep en projectmanager — vertrouwen, escalatiebereidheid, gedeeld beeld van urgentie — ontbrak. Dat is precies het gat dat het People-element adresseert.</w:t>
      </w:r>
    </w:p>
    <w:p>
      <w:pPr>
        <w:pStyle w:val="Heading2"/>
        <w:spacing w:after="120" w:before="200"/>
      </w:pPr>
      <w:r>
        <w:rPr>
          <w:rFonts w:ascii="Georgia" w:cs="Georgia" w:eastAsia="Georgia" w:hAnsi="Georgia"/>
          <w:b/>
          <w:bCs/>
          <w:color w:val="2563A8"/>
          <w:sz w:val="28"/>
          <w:szCs w:val="28"/>
        </w:rPr>
        <w:t xml:space="preserve">4. Sustainability: het zevende performance target</w:t>
      </w:r>
    </w:p>
    <w:p>
      <w:pPr>
        <w:spacing w:after="140" w:line="300"/>
      </w:pPr>
      <w:r>
        <w:rPr>
          <w:rFonts w:ascii="Calibri" w:cs="Calibri" w:eastAsia="Calibri" w:hAnsi="Calibri"/>
          <w:sz w:val="22"/>
          <w:szCs w:val="22"/>
        </w:rPr>
        <w:t xml:space="preserve">PRINCE2 6 kende zes aspecten van projectprestatie waarop toleranties werden gezet: tijd, kosten, scope, kwaliteit, risico en baten. PRINCE2 7 voegt daar een zevende aan toe: </w:t>
      </w:r>
      <w:r>
        <w:rPr>
          <w:rFonts w:ascii="Calibri" w:cs="Calibri" w:eastAsia="Calibri" w:hAnsi="Calibri"/>
          <w:b/>
          <w:bCs/>
          <w:sz w:val="22"/>
          <w:szCs w:val="22"/>
        </w:rPr>
        <w:t xml:space="preserve">duurzaamheid</w:t>
      </w:r>
      <w:r>
        <w:rPr>
          <w:rFonts w:ascii="Calibri" w:cs="Calibri" w:eastAsia="Calibri" w:hAnsi="Calibri"/>
          <w:sz w:val="22"/>
          <w:szCs w:val="22"/>
        </w:rPr>
        <w:t xml:space="preserve">. Dat betekent niet dat elk project een milieudoelstelling moet hebben, maar dat duurzaamheidsimpact — sociaal, economisch en ecologisch — voortaan net zo expliciet wordt meegewogen en getolereerd als bijvoorbeeld kosten. Voor Meridiaan als financiële instelling onder toezicht is dit relevant: ESG-overwegingen (environmental, social, governance) worden in de sector steeds vaker een formeel toetsingscriterium, niet een bijzaak.</w:t>
      </w:r>
    </w:p>
    <w:p>
      <w:pPr>
        <w:pStyle w:val="Heading2"/>
        <w:spacing w:after="120" w:before="200"/>
      </w:pPr>
      <w:r>
        <w:rPr>
          <w:rFonts w:ascii="Georgia" w:cs="Georgia" w:eastAsia="Georgia" w:hAnsi="Georgia"/>
          <w:b/>
          <w:bCs/>
          <w:color w:val="2563A8"/>
          <w:sz w:val="28"/>
          <w:szCs w:val="28"/>
        </w:rPr>
        <w:t xml:space="preserve">5. Wat wél en niet getailord mag worden</w:t>
      </w:r>
    </w:p>
    <w:p>
      <w:pPr>
        <w:spacing w:after="140" w:line="300"/>
      </w:pPr>
      <w:r>
        <w:rPr>
          <w:rFonts w:ascii="Calibri" w:cs="Calibri" w:eastAsia="Calibri" w:hAnsi="Calibri"/>
          <w:sz w:val="22"/>
          <w:szCs w:val="22"/>
        </w:rPr>
        <w:t xml:space="preserve">De examenval waar Practitioner-kandidaten het vaakst over struikelen: tailoring is niet "PRINCE2 lichter maken", het is "PRINCE2 gericht toepassen zonder de besturing te verliezen." Een paar concrete regels:</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principes</w:t>
      </w:r>
      <w:r>
        <w:rPr>
          <w:rFonts w:ascii="Calibri" w:cs="Calibri" w:eastAsia="Calibri" w:hAnsi="Calibri"/>
          <w:sz w:val="22"/>
          <w:szCs w:val="22"/>
        </w:rPr>
        <w:t xml:space="preserve"> worden nooit aangepast — ze zijn er, voluit, in elk project, van een tweeweekse interne klus tot een meerjarig stelselprogramma.</w:t>
      </w:r>
    </w:p>
    <w:p>
      <w:pPr>
        <w:pStyle w:val="ListParagraph"/>
        <w:numPr>
          <w:ilvl w:val="0"/>
          <w:numId w:val="1"/>
        </w:numPr>
        <w:spacing w:after="100" w:line="280"/>
      </w:pPr>
      <w:r>
        <w:rPr>
          <w:rFonts w:ascii="Calibri" w:cs="Calibri" w:eastAsia="Calibri" w:hAnsi="Calibri"/>
          <w:sz w:val="22"/>
          <w:szCs w:val="22"/>
        </w:rPr>
        <w:t xml:space="preserve">De </w:t>
      </w:r>
      <w:r>
        <w:rPr>
          <w:rFonts w:ascii="Calibri" w:cs="Calibri" w:eastAsia="Calibri" w:hAnsi="Calibri"/>
          <w:b/>
          <w:bCs/>
          <w:sz w:val="22"/>
          <w:szCs w:val="22"/>
        </w:rPr>
        <w:t xml:space="preserve">practices en processen</w:t>
      </w:r>
      <w:r>
        <w:rPr>
          <w:rFonts w:ascii="Calibri" w:cs="Calibri" w:eastAsia="Calibri" w:hAnsi="Calibri"/>
          <w:sz w:val="22"/>
          <w:szCs w:val="22"/>
        </w:rPr>
        <w:t xml:space="preserve"> worden wél getailord: een klein project kan de rollen van Executive en Senior User combineren, een Highlight Report mag mondeling in plaats van schriftelijk, en de Starting up a Project-processtap kan informeel worden doorlopen. De </w:t>
      </w:r>
      <w:r>
        <w:rPr>
          <w:rFonts w:ascii="Calibri" w:cs="Calibri" w:eastAsia="Calibri" w:hAnsi="Calibri"/>
          <w:i/>
          <w:iCs/>
          <w:sz w:val="22"/>
          <w:szCs w:val="22"/>
        </w:rPr>
        <w:t xml:space="preserve">functie</w:t>
      </w:r>
      <w:r>
        <w:rPr>
          <w:rFonts w:ascii="Calibri" w:cs="Calibri" w:eastAsia="Calibri" w:hAnsi="Calibri"/>
          <w:sz w:val="22"/>
          <w:szCs w:val="22"/>
        </w:rPr>
        <w:t xml:space="preserve"> van elk element moet behouden blijven, ook als de </w:t>
      </w:r>
      <w:r>
        <w:rPr>
          <w:rFonts w:ascii="Calibri" w:cs="Calibri" w:eastAsia="Calibri" w:hAnsi="Calibri"/>
          <w:i/>
          <w:iCs/>
          <w:sz w:val="22"/>
          <w:szCs w:val="22"/>
        </w:rPr>
        <w:t xml:space="preserve">vorm</w:t>
      </w:r>
      <w:r>
        <w:rPr>
          <w:rFonts w:ascii="Calibri" w:cs="Calibri" w:eastAsia="Calibri" w:hAnsi="Calibri"/>
          <w:sz w:val="22"/>
          <w:szCs w:val="22"/>
        </w:rPr>
        <w:t xml:space="preserve"> verandert.</w:t>
      </w:r>
    </w:p>
    <w:p>
      <w:pPr>
        <w:pStyle w:val="ListParagraph"/>
        <w:numPr>
          <w:ilvl w:val="0"/>
          <w:numId w:val="1"/>
        </w:numPr>
        <w:spacing w:after="100" w:line="280"/>
      </w:pPr>
      <w:r>
        <w:rPr>
          <w:rFonts w:ascii="Calibri" w:cs="Calibri" w:eastAsia="Calibri" w:hAnsi="Calibri"/>
          <w:b/>
          <w:bCs/>
          <w:sz w:val="22"/>
          <w:szCs w:val="22"/>
        </w:rPr>
        <w:t xml:space="preserve">Taal en terminologie</w:t>
      </w:r>
      <w:r>
        <w:rPr>
          <w:rFonts w:ascii="Calibri" w:cs="Calibri" w:eastAsia="Calibri" w:hAnsi="Calibri"/>
          <w:sz w:val="22"/>
          <w:szCs w:val="22"/>
        </w:rPr>
        <w:t xml:space="preserve"> zijn het meest flexibel: een organisatie mag "project brief" vertalen naar de eigen huisstijl, zolang de inhoud overeind blijft.</w:t>
      </w:r>
    </w:p>
    <w:p>
      <w:pPr>
        <w:pStyle w:val="ListParagraph"/>
        <w:numPr>
          <w:ilvl w:val="0"/>
          <w:numId w:val="1"/>
        </w:numPr>
        <w:spacing w:after="100" w:line="280"/>
      </w:pPr>
      <w:r>
        <w:rPr>
          <w:rFonts w:ascii="Calibri" w:cs="Calibri" w:eastAsia="Calibri" w:hAnsi="Calibri"/>
          <w:sz w:val="22"/>
          <w:szCs w:val="22"/>
        </w:rPr>
        <w:t xml:space="preserve">Elke tailoring-keuze moet </w:t>
      </w:r>
      <w:r>
        <w:rPr>
          <w:rFonts w:ascii="Calibri" w:cs="Calibri" w:eastAsia="Calibri" w:hAnsi="Calibri"/>
          <w:b/>
          <w:bCs/>
          <w:sz w:val="22"/>
          <w:szCs w:val="22"/>
        </w:rPr>
        <w:t xml:space="preserve">beargumenteerd en vastgelegd</w:t>
      </w:r>
      <w:r>
        <w:rPr>
          <w:rFonts w:ascii="Calibri" w:cs="Calibri" w:eastAsia="Calibri" w:hAnsi="Calibri"/>
          <w:sz w:val="22"/>
          <w:szCs w:val="22"/>
        </w:rPr>
        <w:t xml:space="preserve"> worden — meestal in het Project Initiation Document (deel 10) — zodat die keuze auditeerbaar en navolgbaar is.</w:t>
      </w:r>
    </w:p>
    <w:p>
      <w:pPr>
        <w:spacing w:after="140" w:line="300"/>
      </w:pPr>
      <w:r>
        <w:rPr>
          <w:rFonts w:ascii="Calibri" w:cs="Calibri" w:eastAsia="Calibri" w:hAnsi="Calibri"/>
          <w:sz w:val="22"/>
          <w:szCs w:val="22"/>
        </w:rPr>
        <w:t xml:space="preserve">De vuistregel: als een aanpassing de mógelijkheid tot besturing wegneemt (bijvoorbeeld: geen enkel beslismoment meer, geen enkele tolerantiegrens), is het geen tailoring meer maar een principeschending. Als de aanpassing de vorm verandert maar het besturingsvermogen intact laat, is het legitieme tailoring.</w:t>
      </w:r>
    </w:p>
    <w:p>
      <w:pPr>
        <w:pStyle w:val="Heading2"/>
        <w:spacing w:after="120" w:before="200"/>
      </w:pPr>
      <w:r>
        <w:rPr>
          <w:rFonts w:ascii="Georgia" w:cs="Georgia" w:eastAsia="Georgia" w:hAnsi="Georgia"/>
          <w:b/>
          <w:bCs/>
          <w:color w:val="2563A8"/>
          <w:sz w:val="28"/>
          <w:szCs w:val="28"/>
        </w:rPr>
        <w:t xml:space="preserve">6. Vooruitblik</w:t>
      </w:r>
    </w:p>
    <w:p>
      <w:pPr>
        <w:spacing w:after="140" w:line="300"/>
      </w:pPr>
      <w:r>
        <w:rPr>
          <w:rFonts w:ascii="Calibri" w:cs="Calibri" w:eastAsia="Calibri" w:hAnsi="Calibri"/>
          <w:sz w:val="22"/>
          <w:szCs w:val="22"/>
        </w:rPr>
        <w:t xml:space="preserve">De zeven principes vormen het "waarom" van PRINCE2. De komende vier delen (3 tot en met 6) behandelen het "hoe": de zeven practices — Business Case, Organizing, Plans, Quality, Risk, Issues en Progress — die concreet invulling geven aan wat de principes voorschrijven. Deel 3 begint met Business Case en Organizing.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2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2026-08-17T07:46:46.765Z</dcterms:created>
  <dcterms:modified xsi:type="dcterms:W3CDTF">2026-08-17T07:46:46.766Z</dcterms:modified>
</cp:coreProperties>
</file>

<file path=docProps/custom.xml><?xml version="1.0" encoding="utf-8"?>
<Properties xmlns="http://schemas.openxmlformats.org/officeDocument/2006/custom-properties" xmlns:vt="http://schemas.openxmlformats.org/officeDocument/2006/docPropsVTypes"/>
</file>