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2 — De zeven principes van PRINCE2 7</w:t>
      </w:r>
    </w:p>
    <w:p>
      <w:pPr>
        <w:spacing w:after="300"/>
      </w:pPr>
      <w:r>
        <w:rPr>
          <w:rFonts w:ascii="Calibri" w:cs="Calibri" w:eastAsia="Calibri" w:hAnsi="Calibri"/>
          <w:i/>
          <w:iCs/>
          <w:color w:val="2563A8"/>
          <w:sz w:val="22"/>
          <w:szCs w:val="22"/>
        </w:rPr>
        <w:t xml:space="preserve">Niveau 1 Fundament · Project- en Programmamanagement</w:t>
      </w:r>
    </w:p>
    <w:p>
      <w:pPr>
        <w:pStyle w:val="Heading2"/>
        <w:spacing w:after="120" w:before="200"/>
      </w:pPr>
      <w:r>
        <w:rPr>
          <w:rFonts w:ascii="Georgia" w:cs="Georgia" w:eastAsia="Georgia" w:hAnsi="Georgia"/>
          <w:b/>
          <w:bCs/>
          <w:color w:val="2563A8"/>
          <w:sz w:val="28"/>
          <w:szCs w:val="28"/>
        </w:rPr>
        <w:t xml:space="preserve">Opdracht 2.1 — Principe of geen principe? (individueel, 10 min)</w:t>
      </w:r>
    </w:p>
    <w:p>
      <w:pPr>
        <w:spacing w:after="140" w:line="300"/>
      </w:pPr>
      <w:r>
        <w:rPr>
          <w:rFonts w:ascii="Calibri" w:cs="Calibri" w:eastAsia="Calibri" w:hAnsi="Calibri"/>
          <w:sz w:val="22"/>
          <w:szCs w:val="22"/>
        </w:rPr>
        <w:t xml:space="preserve">PRINCE2 kent zeven principes. Van de onderstaande beweringen klinken sommige als een principe maar zijn het niet — het zijn practices, processen of gewoon goede projectmanagementgewoonten die niet tot de vaste zeven behoren. Markeer welke van de volgende acht beweringen wél en niet tot de zeven principes horen, en benoem voor de "niet-principes" wat het dan wél is.</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Borg voortdurende bedrijfsrechtvaardiging</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Betrek de eindgebruiker zo vroeg mogelijk in het ontwerp</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Stuur via beheerste fasen</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Werk met een vast wekelijks statusoverleg</w:t>
      </w:r>
    </w:p>
    <w:p>
      <w:pPr>
        <w:spacing w:after="120" w:line="280"/>
        <w:ind w:left="360" w:hanging="360"/>
      </w:pPr>
      <w:r>
        <w:rPr>
          <w:rFonts w:ascii="Calibri" w:cs="Calibri" w:eastAsia="Calibri" w:hAnsi="Calibri"/>
          <w:b/>
          <w:bCs/>
          <w:color w:val="2563A8"/>
          <w:sz w:val="22"/>
          <w:szCs w:val="22"/>
        </w:rPr>
        <w:t xml:space="preserve">e. </w:t>
      </w:r>
      <w:r>
        <w:rPr>
          <w:rFonts w:ascii="Calibri" w:cs="Calibri" w:eastAsia="Calibri" w:hAnsi="Calibri"/>
          <w:sz w:val="22"/>
          <w:szCs w:val="22"/>
        </w:rPr>
        <w:t xml:space="preserve">Focus op producten</w:t>
      </w:r>
    </w:p>
    <w:p>
      <w:pPr>
        <w:spacing w:after="120" w:line="280"/>
        <w:ind w:left="360" w:hanging="360"/>
      </w:pPr>
      <w:r>
        <w:rPr>
          <w:rFonts w:ascii="Calibri" w:cs="Calibri" w:eastAsia="Calibri" w:hAnsi="Calibri"/>
          <w:b/>
          <w:bCs/>
          <w:color w:val="2563A8"/>
          <w:sz w:val="22"/>
          <w:szCs w:val="22"/>
        </w:rPr>
        <w:t xml:space="preserve">f. </w:t>
      </w:r>
      <w:r>
        <w:rPr>
          <w:rFonts w:ascii="Calibri" w:cs="Calibri" w:eastAsia="Calibri" w:hAnsi="Calibri"/>
          <w:sz w:val="22"/>
          <w:szCs w:val="22"/>
        </w:rPr>
        <w:t xml:space="preserve">Stuur op uitzondering</w:t>
      </w:r>
    </w:p>
    <w:p>
      <w:pPr>
        <w:spacing w:after="120" w:line="280"/>
        <w:ind w:left="360" w:hanging="360"/>
      </w:pPr>
      <w:r>
        <w:rPr>
          <w:rFonts w:ascii="Calibri" w:cs="Calibri" w:eastAsia="Calibri" w:hAnsi="Calibri"/>
          <w:b/>
          <w:bCs/>
          <w:color w:val="2563A8"/>
          <w:sz w:val="22"/>
          <w:szCs w:val="22"/>
        </w:rPr>
        <w:t xml:space="preserve">g. </w:t>
      </w:r>
      <w:r>
        <w:rPr>
          <w:rFonts w:ascii="Calibri" w:cs="Calibri" w:eastAsia="Calibri" w:hAnsi="Calibri"/>
          <w:sz w:val="22"/>
          <w:szCs w:val="22"/>
        </w:rPr>
        <w:t xml:space="preserve">Documenteer alle projectrisico's in een centraal register</w:t>
      </w:r>
    </w:p>
    <w:p>
      <w:pPr>
        <w:spacing w:after="120" w:line="280"/>
        <w:ind w:left="360" w:hanging="360"/>
      </w:pPr>
      <w:r>
        <w:rPr>
          <w:rFonts w:ascii="Calibri" w:cs="Calibri" w:eastAsia="Calibri" w:hAnsi="Calibri"/>
          <w:b/>
          <w:bCs/>
          <w:color w:val="2563A8"/>
          <w:sz w:val="22"/>
          <w:szCs w:val="22"/>
        </w:rPr>
        <w:t xml:space="preserve">h. </w:t>
      </w:r>
      <w:r>
        <w:rPr>
          <w:rFonts w:ascii="Calibri" w:cs="Calibri" w:eastAsia="Calibri" w:hAnsi="Calibri"/>
          <w:sz w:val="22"/>
          <w:szCs w:val="22"/>
        </w:rPr>
        <w:t xml:space="preserve">Pas toe op maat van het project</w:t>
      </w:r>
    </w:p>
    <w:p>
      <w:pPr>
        <w:pStyle w:val="Heading2"/>
        <w:spacing w:after="120" w:before="200"/>
      </w:pPr>
      <w:r>
        <w:rPr>
          <w:rFonts w:ascii="Georgia" w:cs="Georgia" w:eastAsia="Georgia" w:hAnsi="Georgia"/>
          <w:b/>
          <w:bCs/>
          <w:color w:val="2563A8"/>
          <w:sz w:val="28"/>
          <w:szCs w:val="28"/>
        </w:rPr>
        <w:t xml:space="preserve">Opdracht 2.2 — Koppel de principes aan de bevindingen (tweetallen, 15 min)</w:t>
      </w:r>
    </w:p>
    <w:p>
      <w:pPr>
        <w:spacing w:after="140" w:line="300"/>
      </w:pPr>
      <w:r>
        <w:rPr>
          <w:rFonts w:ascii="Calibri" w:cs="Calibri" w:eastAsia="Calibri" w:hAnsi="Calibri"/>
          <w:sz w:val="22"/>
          <w:szCs w:val="22"/>
        </w:rPr>
        <w:t xml:space="preserve">Herhaal de koppeling uit de reader (§2), maar nu zónder de reader erbij te pakken. Voor elk van de zeven bevindingen uit deel 1: welk principe had dit voorkomen, en in één zin waarom? Vergelijk daarna met een ander tweetal — waar zaten de verschillen, en zijn die verschillen ook verdedigbaar?</w:t>
      </w:r>
    </w:p>
    <w:p>
      <w:pPr>
        <w:spacing w:after="120" w:line="280"/>
        <w:ind w:left="360" w:hanging="360"/>
      </w:pPr>
      <w:r>
        <w:rPr>
          <w:rFonts w:ascii="Calibri" w:cs="Calibri" w:eastAsia="Calibri" w:hAnsi="Calibri"/>
          <w:b/>
          <w:bCs/>
          <w:color w:val="14213D"/>
          <w:sz w:val="22"/>
          <w:szCs w:val="22"/>
        </w:rPr>
        <w:t xml:space="preserve">1. </w:t>
      </w:r>
      <w:r>
        <w:rPr>
          <w:rFonts w:ascii="Calibri" w:cs="Calibri" w:eastAsia="Calibri" w:hAnsi="Calibri"/>
          <w:sz w:val="22"/>
          <w:szCs w:val="22"/>
        </w:rPr>
        <w:t xml:space="preserve">Geen levende business case</w:t>
      </w:r>
    </w:p>
    <w:p>
      <w:pPr>
        <w:spacing w:after="120" w:line="280"/>
        <w:ind w:left="360" w:hanging="360"/>
      </w:pPr>
      <w:r>
        <w:rPr>
          <w:rFonts w:ascii="Calibri" w:cs="Calibri" w:eastAsia="Calibri" w:hAnsi="Calibri"/>
          <w:b/>
          <w:bCs/>
          <w:color w:val="14213D"/>
          <w:sz w:val="22"/>
          <w:szCs w:val="22"/>
        </w:rPr>
        <w:t xml:space="preserve">2. </w:t>
      </w:r>
      <w:r>
        <w:rPr>
          <w:rFonts w:ascii="Calibri" w:cs="Calibri" w:eastAsia="Calibri" w:hAnsi="Calibri"/>
          <w:sz w:val="22"/>
          <w:szCs w:val="22"/>
        </w:rPr>
        <w:t xml:space="preserve">Stuurgroep zonder bevoegdheid</w:t>
      </w:r>
    </w:p>
    <w:p>
      <w:pPr>
        <w:spacing w:after="120" w:line="280"/>
        <w:ind w:left="360" w:hanging="360"/>
      </w:pPr>
      <w:r>
        <w:rPr>
          <w:rFonts w:ascii="Calibri" w:cs="Calibri" w:eastAsia="Calibri" w:hAnsi="Calibri"/>
          <w:b/>
          <w:bCs/>
          <w:color w:val="14213D"/>
          <w:sz w:val="22"/>
          <w:szCs w:val="22"/>
        </w:rPr>
        <w:t xml:space="preserve">3. </w:t>
      </w:r>
      <w:r>
        <w:rPr>
          <w:rFonts w:ascii="Calibri" w:cs="Calibri" w:eastAsia="Calibri" w:hAnsi="Calibri"/>
          <w:sz w:val="22"/>
          <w:szCs w:val="22"/>
        </w:rPr>
        <w:t xml:space="preserve">Eén grote fase in plaats van beheerste stappen</w:t>
      </w:r>
    </w:p>
    <w:p>
      <w:pPr>
        <w:spacing w:after="120" w:line="280"/>
        <w:ind w:left="360" w:hanging="360"/>
      </w:pPr>
      <w:r>
        <w:rPr>
          <w:rFonts w:ascii="Calibri" w:cs="Calibri" w:eastAsia="Calibri" w:hAnsi="Calibri"/>
          <w:b/>
          <w:bCs/>
          <w:color w:val="14213D"/>
          <w:sz w:val="22"/>
          <w:szCs w:val="22"/>
        </w:rPr>
        <w:t xml:space="preserve">4. </w:t>
      </w:r>
      <w:r>
        <w:rPr>
          <w:rFonts w:ascii="Calibri" w:cs="Calibri" w:eastAsia="Calibri" w:hAnsi="Calibri"/>
          <w:sz w:val="22"/>
          <w:szCs w:val="22"/>
        </w:rPr>
        <w:t xml:space="preserve">Activiteitenplanning in plaats van resultatenplanning</w:t>
      </w:r>
    </w:p>
    <w:p>
      <w:pPr>
        <w:spacing w:after="120" w:line="280"/>
        <w:ind w:left="360" w:hanging="360"/>
      </w:pPr>
      <w:r>
        <w:rPr>
          <w:rFonts w:ascii="Calibri" w:cs="Calibri" w:eastAsia="Calibri" w:hAnsi="Calibri"/>
          <w:b/>
          <w:bCs/>
          <w:color w:val="14213D"/>
          <w:sz w:val="22"/>
          <w:szCs w:val="22"/>
        </w:rPr>
        <w:t xml:space="preserve">5. </w:t>
      </w:r>
      <w:r>
        <w:rPr>
          <w:rFonts w:ascii="Calibri" w:cs="Calibri" w:eastAsia="Calibri" w:hAnsi="Calibri"/>
          <w:sz w:val="22"/>
          <w:szCs w:val="22"/>
        </w:rPr>
        <w:t xml:space="preserve">Geen toleranties, dus geen ruimte om te sturen</w:t>
      </w:r>
    </w:p>
    <w:p>
      <w:pPr>
        <w:spacing w:after="120" w:line="280"/>
        <w:ind w:left="360" w:hanging="360"/>
      </w:pPr>
      <w:r>
        <w:rPr>
          <w:rFonts w:ascii="Calibri" w:cs="Calibri" w:eastAsia="Calibri" w:hAnsi="Calibri"/>
          <w:b/>
          <w:bCs/>
          <w:color w:val="14213D"/>
          <w:sz w:val="22"/>
          <w:szCs w:val="22"/>
        </w:rPr>
        <w:t xml:space="preserve">6. </w:t>
      </w:r>
      <w:r>
        <w:rPr>
          <w:rFonts w:ascii="Calibri" w:cs="Calibri" w:eastAsia="Calibri" w:hAnsi="Calibri"/>
          <w:sz w:val="22"/>
          <w:szCs w:val="22"/>
        </w:rPr>
        <w:t xml:space="preserve">Een risicolijst zonder eigenaren</w:t>
      </w:r>
    </w:p>
    <w:p>
      <w:pPr>
        <w:spacing w:after="120" w:line="280"/>
        <w:ind w:left="360" w:hanging="360"/>
      </w:pPr>
      <w:r>
        <w:rPr>
          <w:rFonts w:ascii="Calibri" w:cs="Calibri" w:eastAsia="Calibri" w:hAnsi="Calibri"/>
          <w:b/>
          <w:bCs/>
          <w:color w:val="14213D"/>
          <w:sz w:val="22"/>
          <w:szCs w:val="22"/>
        </w:rPr>
        <w:t xml:space="preserve">7. </w:t>
      </w:r>
      <w:r>
        <w:rPr>
          <w:rFonts w:ascii="Calibri" w:cs="Calibri" w:eastAsia="Calibri" w:hAnsi="Calibri"/>
          <w:sz w:val="22"/>
          <w:szCs w:val="22"/>
        </w:rPr>
        <w:t xml:space="preserve">Geen zicht op baten</w:t>
      </w:r>
    </w:p>
    <w:p>
      <w:pPr>
        <w:pStyle w:val="Heading2"/>
        <w:spacing w:after="120" w:before="200"/>
      </w:pPr>
      <w:r>
        <w:rPr>
          <w:rFonts w:ascii="Georgia" w:cs="Georgia" w:eastAsia="Georgia" w:hAnsi="Georgia"/>
          <w:b/>
          <w:bCs/>
          <w:color w:val="2563A8"/>
          <w:sz w:val="28"/>
          <w:szCs w:val="28"/>
        </w:rPr>
        <w:t xml:space="preserve">Opdracht 2.3 — Tailoring of principeschending? (klassikaal, 20 min)</w:t>
      </w:r>
    </w:p>
    <w:p>
      <w:pPr>
        <w:spacing w:after="140" w:line="300"/>
      </w:pPr>
      <w:r>
        <w:rPr>
          <w:rFonts w:ascii="Calibri" w:cs="Calibri" w:eastAsia="Calibri" w:hAnsi="Calibri"/>
          <w:sz w:val="22"/>
          <w:szCs w:val="22"/>
        </w:rPr>
        <w:t xml:space="preserve">Voor elk van de volgende aanpassingen aan de standaardaanpak: is dit legitieme tailoring (de vorm verandert, de besturing blijft intact) of een principeschending (de besturing zelf verdwijnt)? Beargumenteer met de vuistregel uit reader §5.</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Op een project van drie weken worden de rollen Executive en Senior User door dezelfde persoon vervuld.</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Een projectmanager besluit dat toleranties "voor de vaart" worden losgelaten — escalatie gebeurt voortaan "als het echt nodig is".</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In plaats van een schriftelijk Highlight Report elke twee weken, geeft de projectmanager een mondelinge update tijdens het wekelijkse teamoverleg.</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Een stuurgroep besluit dat de business case, eenmaal goedgekeurd, niet meer wordt herzien om "vaart te houden".</w:t>
      </w:r>
    </w:p>
    <w:p>
      <w:pPr>
        <w:spacing w:after="120" w:line="280"/>
        <w:ind w:left="360" w:hanging="360"/>
      </w:pPr>
      <w:r>
        <w:rPr>
          <w:rFonts w:ascii="Calibri" w:cs="Calibri" w:eastAsia="Calibri" w:hAnsi="Calibri"/>
          <w:b/>
          <w:bCs/>
          <w:color w:val="2563A8"/>
          <w:sz w:val="22"/>
          <w:szCs w:val="22"/>
        </w:rPr>
        <w:t xml:space="preserve">e. </w:t>
      </w:r>
      <w:r>
        <w:rPr>
          <w:rFonts w:ascii="Calibri" w:cs="Calibri" w:eastAsia="Calibri" w:hAnsi="Calibri"/>
          <w:sz w:val="22"/>
          <w:szCs w:val="22"/>
        </w:rPr>
        <w:t xml:space="preserve">Een organisatie noemt het Project Initiation Document een "Projectplan", met exact dezelfde inhoud en functie.</w:t>
      </w:r>
    </w:p>
    <w:p>
      <w:pPr>
        <w:spacing w:after="120" w:line="280"/>
        <w:ind w:left="360" w:hanging="360"/>
      </w:pPr>
      <w:r>
        <w:rPr>
          <w:rFonts w:ascii="Calibri" w:cs="Calibri" w:eastAsia="Calibri" w:hAnsi="Calibri"/>
          <w:b/>
          <w:bCs/>
          <w:color w:val="2563A8"/>
          <w:sz w:val="22"/>
          <w:szCs w:val="22"/>
        </w:rPr>
        <w:t xml:space="preserve">f. </w:t>
      </w:r>
      <w:r>
        <w:rPr>
          <w:rFonts w:ascii="Calibri" w:cs="Calibri" w:eastAsia="Calibri" w:hAnsi="Calibri"/>
          <w:sz w:val="22"/>
          <w:szCs w:val="22"/>
        </w:rPr>
        <w:t xml:space="preserve">Een programmadirecteur schrapt alle faseovergangen uit een project van veertien maanden om "bureaucratie te verminderen".</w:t>
      </w:r>
    </w:p>
    <w:p>
      <w:pPr>
        <w:pStyle w:val="Heading2"/>
        <w:spacing w:after="120" w:before="200"/>
      </w:pPr>
      <w:r>
        <w:rPr>
          <w:rFonts w:ascii="Georgia" w:cs="Georgia" w:eastAsia="Georgia" w:hAnsi="Georgia"/>
          <w:b/>
          <w:bCs/>
          <w:color w:val="2563A8"/>
          <w:sz w:val="28"/>
          <w:szCs w:val="28"/>
        </w:rPr>
        <w:t xml:space="preserve">Opdracht 2.4 — People en sustainability toepassen op Meridiaan (klassikaal, 15 min)</w:t>
      </w:r>
    </w:p>
    <w:p>
      <w:pPr>
        <w:spacing w:after="140" w:line="300"/>
      </w:pPr>
      <w:r>
        <w:rPr>
          <w:rFonts w:ascii="Calibri" w:cs="Calibri" w:eastAsia="Calibri" w:hAnsi="Calibri"/>
          <w:sz w:val="22"/>
          <w:szCs w:val="22"/>
        </w:rPr>
        <w:t xml:space="preserve">De herstart van WGP 2.0 begint over twee weken.</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Noem twee concrete acties die passen bij het People-element (reader §3) die de nieuwe projectmanager zou kunnen nemen, gegeven dat de vorige stuurgroep nooit ingreep ondanks twijfels.</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Meridiaan is een pensioenverzekeraar onder toezicht van DNB. Bedenk één realistische duurzaamheids- of ESG-overweging (reader §4) die relevant zou kunnen zijn bij het opnieuw opzetten van WGP 2.0, en waarom die als tolerantie zou moeten worden vastgelegd in plaats van als vage intentie.</w:t>
      </w:r>
    </w:p>
    <w:p>
      <w:pPr>
        <w:pStyle w:val="Heading2"/>
        <w:spacing w:after="120" w:before="200"/>
      </w:pPr>
      <w:r>
        <w:rPr>
          <w:rFonts w:ascii="Georgia" w:cs="Georgia" w:eastAsia="Georgia" w:hAnsi="Georgia"/>
          <w:b/>
          <w:bCs/>
          <w:color w:val="2563A8"/>
          <w:sz w:val="28"/>
          <w:szCs w:val="28"/>
        </w:rPr>
        <w:t xml:space="preserve">Reflectievraag (afsluitend)</w:t>
      </w:r>
    </w:p>
    <w:p>
      <w:pPr>
        <w:spacing w:after="140" w:line="300"/>
      </w:pPr>
      <w:r>
        <w:rPr>
          <w:rFonts w:ascii="Calibri" w:cs="Calibri" w:eastAsia="Calibri" w:hAnsi="Calibri"/>
          <w:sz w:val="22"/>
          <w:szCs w:val="22"/>
        </w:rPr>
        <w:t xml:space="preserve">De principes zijn niet onderhandelbaar; de practices en processen wel. Kun je, uit je eigen werk of ervaring, een voorbeeld noemen waarin dat onderscheid werd genegeerd — waarin iets "getailord" werd dat eigenlijk een principe was?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1 Fundament · Deel 2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2026-08-17T07:46:46.864Z</dcterms:created>
  <dcterms:modified xsi:type="dcterms:W3CDTF">2026-08-17T07:46:46.864Z</dcterms:modified>
</cp:coreProperties>
</file>

<file path=docProps/custom.xml><?xml version="1.0" encoding="utf-8"?>
<Properties xmlns="http://schemas.openxmlformats.org/officeDocument/2006/custom-properties" xmlns:vt="http://schemas.openxmlformats.org/officeDocument/2006/docPropsVTypes"/>
</file>