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3 — Practices: Business Case en Organizing</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1. Van principe naar practice</w:t>
      </w:r>
    </w:p>
    <w:p>
      <w:pPr>
        <w:spacing w:after="140" w:line="300"/>
      </w:pPr>
      <w:r>
        <w:rPr>
          <w:rFonts w:ascii="Calibri" w:cs="Calibri" w:eastAsia="Calibri" w:hAnsi="Calibri"/>
          <w:sz w:val="22"/>
          <w:szCs w:val="22"/>
        </w:rPr>
        <w:t xml:space="preserve">Deel 2 gaf het "waarom": zeven principes die nooit worden aangepast. Vanaf dit deel volgt het "hoe" — de zeven practices die concreet voorschrijven hoe je die principes in de praktijk brengt. Anders dan de principes wórden practices wél getailord: de vorm past zich aan de omvang en context van het project aan, zolang de functie overeind blijft (deel 2, §5).</w:t>
      </w:r>
    </w:p>
    <w:p>
      <w:pPr>
        <w:spacing w:after="140" w:line="300"/>
      </w:pPr>
      <w:r>
        <w:rPr>
          <w:rFonts w:ascii="Calibri" w:cs="Calibri" w:eastAsia="Calibri" w:hAnsi="Calibri"/>
          <w:sz w:val="22"/>
          <w:szCs w:val="22"/>
        </w:rPr>
        <w:t xml:space="preserve">Dit deel behandelt de eerste twee: </w:t>
      </w:r>
      <w:r>
        <w:rPr>
          <w:rFonts w:ascii="Calibri" w:cs="Calibri" w:eastAsia="Calibri" w:hAnsi="Calibri"/>
          <w:b/>
          <w:bCs/>
          <w:sz w:val="22"/>
          <w:szCs w:val="22"/>
        </w:rPr>
        <w:t xml:space="preserve">Business Case</w:t>
      </w:r>
      <w:r>
        <w:rPr>
          <w:rFonts w:ascii="Calibri" w:cs="Calibri" w:eastAsia="Calibri" w:hAnsi="Calibri"/>
          <w:sz w:val="22"/>
          <w:szCs w:val="22"/>
        </w:rPr>
        <w:t xml:space="preserve"> (de operationalisering van principe 1, ensure continued business justification) en </w:t>
      </w:r>
      <w:r>
        <w:rPr>
          <w:rFonts w:ascii="Calibri" w:cs="Calibri" w:eastAsia="Calibri" w:hAnsi="Calibri"/>
          <w:b/>
          <w:bCs/>
          <w:sz w:val="22"/>
          <w:szCs w:val="22"/>
        </w:rPr>
        <w:t xml:space="preserve">Organizing</w:t>
      </w:r>
      <w:r>
        <w:rPr>
          <w:rFonts w:ascii="Calibri" w:cs="Calibri" w:eastAsia="Calibri" w:hAnsi="Calibri"/>
          <w:sz w:val="22"/>
          <w:szCs w:val="22"/>
        </w:rPr>
        <w:t xml:space="preserve"> (de operationalisering van principe 3, define roles, responsibilities, and relationships).</w:t>
      </w:r>
    </w:p>
    <w:p>
      <w:pPr>
        <w:pStyle w:val="Heading2"/>
        <w:spacing w:after="120" w:before="200"/>
      </w:pPr>
      <w:r>
        <w:rPr>
          <w:rFonts w:ascii="Georgia" w:cs="Georgia" w:eastAsia="Georgia" w:hAnsi="Georgia"/>
          <w:b/>
          <w:bCs/>
          <w:color w:val="2563A8"/>
          <w:sz w:val="28"/>
          <w:szCs w:val="28"/>
        </w:rPr>
        <w:t xml:space="preserve">2. De Business Case-practice</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De Business Case-practice biedt het mechanisme om doorlopend te toetsen of een project </w:t>
      </w:r>
      <w:r>
        <w:rPr>
          <w:rFonts w:ascii="Calibri" w:cs="Calibri" w:eastAsia="Calibri" w:hAnsi="Calibri"/>
          <w:b/>
          <w:bCs/>
          <w:sz w:val="22"/>
          <w:szCs w:val="22"/>
        </w:rPr>
        <w:t xml:space="preserve">wenselijk (desirable), haalbaar (viable) en uitvoerbaar (achievable)</w:t>
      </w:r>
      <w:r>
        <w:rPr>
          <w:rFonts w:ascii="Calibri" w:cs="Calibri" w:eastAsia="Calibri" w:hAnsi="Calibri"/>
          <w:sz w:val="22"/>
          <w:szCs w:val="22"/>
        </w:rPr>
        <w:t xml:space="preserve"> blijft, als basis voor elk investeringsbesluit. Dat is niet een momentopname bij de start — het is precies het mechanisme dat bevinding 1 uit deel 1 had kunnen voorkomen.</w:t>
      </w:r>
    </w:p>
    <w:p>
      <w:pPr>
        <w:spacing w:after="140" w:line="300"/>
      </w:pPr>
      <w:r>
        <w:rPr>
          <w:rFonts w:ascii="Calibri" w:cs="Calibri" w:eastAsia="Calibri" w:hAnsi="Calibri"/>
          <w:b/>
          <w:bCs/>
          <w:sz w:val="22"/>
          <w:szCs w:val="22"/>
        </w:rPr>
        <w:t xml:space="preserve">De waardeketen: output → capability → outcome → benefit.</w:t>
      </w:r>
    </w:p>
    <w:p>
      <w:pPr>
        <w:spacing w:after="140" w:line="300"/>
      </w:pPr>
      <w:r>
        <w:rPr>
          <w:rFonts w:ascii="Calibri" w:cs="Calibri" w:eastAsia="Calibri" w:hAnsi="Calibri"/>
          <w:sz w:val="22"/>
          <w:szCs w:val="22"/>
        </w:rPr>
        <w:t xml:space="preserve">PRINCE2 hanteert een precieze, laagsgewijze redenering die je voor het examen letterlijk moet kunnen reproduceren:</w:t>
      </w:r>
    </w:p>
    <w:p>
      <w:pPr>
        <w:pStyle w:val="ListParagraph"/>
        <w:numPr>
          <w:ilvl w:val="0"/>
          <w:numId w:val="1"/>
        </w:numPr>
        <w:spacing w:after="100" w:line="280"/>
      </w:pPr>
      <w:r>
        <w:rPr>
          <w:rFonts w:ascii="Calibri" w:cs="Calibri" w:eastAsia="Calibri" w:hAnsi="Calibri"/>
          <w:b/>
          <w:bCs/>
          <w:sz w:val="22"/>
          <w:szCs w:val="22"/>
        </w:rPr>
        <w:t xml:space="preserve">Output</w:t>
      </w:r>
      <w:r>
        <w:rPr>
          <w:rFonts w:ascii="Calibri" w:cs="Calibri" w:eastAsia="Calibri" w:hAnsi="Calibri"/>
          <w:sz w:val="22"/>
          <w:szCs w:val="22"/>
        </w:rPr>
        <w:t xml:space="preserve"> — het tastbare product dat het project oplevert (bijvoorbeeld: het nieuwe werkgeversportaal).</w:t>
      </w:r>
    </w:p>
    <w:p>
      <w:pPr>
        <w:pStyle w:val="ListParagraph"/>
        <w:numPr>
          <w:ilvl w:val="0"/>
          <w:numId w:val="1"/>
        </w:numPr>
        <w:spacing w:after="100" w:line="280"/>
      </w:pPr>
      <w:r>
        <w:rPr>
          <w:rFonts w:ascii="Calibri" w:cs="Calibri" w:eastAsia="Calibri" w:hAnsi="Calibri"/>
          <w:b/>
          <w:bCs/>
          <w:sz w:val="22"/>
          <w:szCs w:val="22"/>
        </w:rPr>
        <w:t xml:space="preserve">Capability</w:t>
      </w:r>
      <w:r>
        <w:rPr>
          <w:rFonts w:ascii="Calibri" w:cs="Calibri" w:eastAsia="Calibri" w:hAnsi="Calibri"/>
          <w:sz w:val="22"/>
          <w:szCs w:val="22"/>
        </w:rPr>
        <w:t xml:space="preserve"> — de volledige set outputs die nodig is om een verandering mogelijk te maken.</w:t>
      </w:r>
    </w:p>
    <w:p>
      <w:pPr>
        <w:pStyle w:val="ListParagraph"/>
        <w:numPr>
          <w:ilvl w:val="0"/>
          <w:numId w:val="1"/>
        </w:numPr>
        <w:spacing w:after="100" w:line="280"/>
      </w:pPr>
      <w:r>
        <w:rPr>
          <w:rFonts w:ascii="Calibri" w:cs="Calibri" w:eastAsia="Calibri" w:hAnsi="Calibri"/>
          <w:b/>
          <w:bCs/>
          <w:sz w:val="22"/>
          <w:szCs w:val="22"/>
        </w:rPr>
        <w:t xml:space="preserve">Outcome</w:t>
      </w:r>
      <w:r>
        <w:rPr>
          <w:rFonts w:ascii="Calibri" w:cs="Calibri" w:eastAsia="Calibri" w:hAnsi="Calibri"/>
          <w:sz w:val="22"/>
          <w:szCs w:val="22"/>
        </w:rPr>
        <w:t xml:space="preserve"> — het resultaat ván die verandering in de echte wereld: een verandering in gedrag of omstandigheden (bijvoorbeeld: werkgevers dienen mutaties zelf digitaal in, in plaats van via e-mail naar Klantcontact).</w:t>
      </w:r>
    </w:p>
    <w:p>
      <w:pPr>
        <w:pStyle w:val="ListParagraph"/>
        <w:numPr>
          <w:ilvl w:val="0"/>
          <w:numId w:val="1"/>
        </w:numPr>
        <w:spacing w:after="100" w:line="280"/>
      </w:pPr>
      <w:r>
        <w:rPr>
          <w:rFonts w:ascii="Calibri" w:cs="Calibri" w:eastAsia="Calibri" w:hAnsi="Calibri"/>
          <w:b/>
          <w:bCs/>
          <w:sz w:val="22"/>
          <w:szCs w:val="22"/>
        </w:rPr>
        <w:t xml:space="preserve">Benefit</w:t>
      </w:r>
      <w:r>
        <w:rPr>
          <w:rFonts w:ascii="Calibri" w:cs="Calibri" w:eastAsia="Calibri" w:hAnsi="Calibri"/>
          <w:sz w:val="22"/>
          <w:szCs w:val="22"/>
        </w:rPr>
        <w:t xml:space="preserve"> — de meetbare verbetering die uit de outcome voortvloeit en die als voordeel wordt ervaren (bijvoorbeeld: 40% kortere doorlooptijd per mutatie).</w:t>
      </w:r>
    </w:p>
    <w:p>
      <w:pPr>
        <w:pStyle w:val="ListParagraph"/>
        <w:numPr>
          <w:ilvl w:val="0"/>
          <w:numId w:val="1"/>
        </w:numPr>
        <w:spacing w:after="100" w:line="280"/>
      </w:pPr>
      <w:r>
        <w:rPr>
          <w:rFonts w:ascii="Calibri" w:cs="Calibri" w:eastAsia="Calibri" w:hAnsi="Calibri"/>
          <w:b/>
          <w:bCs/>
          <w:sz w:val="22"/>
          <w:szCs w:val="22"/>
        </w:rPr>
        <w:t xml:space="preserve">Dis-benefit</w:t>
      </w:r>
      <w:r>
        <w:rPr>
          <w:rFonts w:ascii="Calibri" w:cs="Calibri" w:eastAsia="Calibri" w:hAnsi="Calibri"/>
          <w:sz w:val="22"/>
          <w:szCs w:val="22"/>
        </w:rPr>
        <w:t xml:space="preserve"> — een meetbare, door minstens één stakeholder als negatief ervaren consequentie van diezelfde outcome (bijvoorbeeld: extra belasting van de IT-helpdesk in de eerste maanden na livegang). Een dis-benefit is geen risico — het is een vrijwel zekere bijwerking die vooraf wordt erkend en meegewogen, geen onzekere gebeurtenis.</w:t>
      </w:r>
    </w:p>
    <w:p>
      <w:pPr>
        <w:spacing w:after="140" w:line="300"/>
      </w:pPr>
      <w:r>
        <w:rPr>
          <w:rFonts w:ascii="Calibri" w:cs="Calibri" w:eastAsia="Calibri" w:hAnsi="Calibri"/>
          <w:sz w:val="22"/>
          <w:szCs w:val="22"/>
        </w:rPr>
        <w:t xml:space="preserve">Deze keten is precies waarom bevinding 7 (geen zicht op baten) een reëel probleem was: zonder outcomes en benefits vooraf te definiëren, is er na oplevering niets om tegen te meten.</w:t>
      </w:r>
    </w:p>
    <w:p>
      <w:pPr>
        <w:spacing w:after="140" w:line="300"/>
      </w:pPr>
      <w:r>
        <w:rPr>
          <w:rFonts w:ascii="Calibri" w:cs="Calibri" w:eastAsia="Calibri" w:hAnsi="Calibri"/>
          <w:b/>
          <w:bCs/>
          <w:sz w:val="22"/>
          <w:szCs w:val="22"/>
        </w:rPr>
        <w:t xml:space="preserve">Business-opties.</w:t>
      </w:r>
      <w:r>
        <w:rPr>
          <w:rFonts w:ascii="Calibri" w:cs="Calibri" w:eastAsia="Calibri" w:hAnsi="Calibri"/>
          <w:sz w:val="22"/>
          <w:szCs w:val="22"/>
        </w:rPr>
        <w:t xml:space="preserve"> Voorafgaand aan elke business case worden minimaal drie opties overwogen: </w:t>
      </w:r>
      <w:r>
        <w:rPr>
          <w:rFonts w:ascii="Calibri" w:cs="Calibri" w:eastAsia="Calibri" w:hAnsi="Calibri"/>
          <w:b/>
          <w:bCs/>
          <w:sz w:val="22"/>
          <w:szCs w:val="22"/>
        </w:rPr>
        <w:t xml:space="preserve">niets doen</w:t>
      </w:r>
      <w:r>
        <w:rPr>
          <w:rFonts w:ascii="Calibri" w:cs="Calibri" w:eastAsia="Calibri" w:hAnsi="Calibri"/>
          <w:sz w:val="22"/>
          <w:szCs w:val="22"/>
        </w:rPr>
        <w:t xml:space="preserve">, </w:t>
      </w:r>
      <w:r>
        <w:rPr>
          <w:rFonts w:ascii="Calibri" w:cs="Calibri" w:eastAsia="Calibri" w:hAnsi="Calibri"/>
          <w:b/>
          <w:bCs/>
          <w:sz w:val="22"/>
          <w:szCs w:val="22"/>
        </w:rPr>
        <w:t xml:space="preserve">het minimum doen</w:t>
      </w:r>
      <w:r>
        <w:rPr>
          <w:rFonts w:ascii="Calibri" w:cs="Calibri" w:eastAsia="Calibri" w:hAnsi="Calibri"/>
          <w:sz w:val="22"/>
          <w:szCs w:val="22"/>
        </w:rPr>
        <w:t xml:space="preserve"> (bijvoorbeeld: alleen compliance-gedreven aanpassingen), en </w:t>
      </w:r>
      <w:r>
        <w:rPr>
          <w:rFonts w:ascii="Calibri" w:cs="Calibri" w:eastAsia="Calibri" w:hAnsi="Calibri"/>
          <w:b/>
          <w:bCs/>
          <w:sz w:val="22"/>
          <w:szCs w:val="22"/>
        </w:rPr>
        <w:t xml:space="preserve">iets doen</w:t>
      </w:r>
      <w:r>
        <w:rPr>
          <w:rFonts w:ascii="Calibri" w:cs="Calibri" w:eastAsia="Calibri" w:hAnsi="Calibri"/>
          <w:sz w:val="22"/>
          <w:szCs w:val="22"/>
        </w:rPr>
        <w:t xml:space="preserve"> (de eigenlijke investering). Bij compliance- of regelgevingsgedreven projecten — relevant voor Meridiaan — worden baten soms vergeleken met de consequenties van níet handelen, in plaats van met een puur financieel rendement.</w:t>
      </w:r>
    </w:p>
    <w:p>
      <w:pPr>
        <w:spacing w:after="140" w:line="300"/>
      </w:pPr>
      <w:r>
        <w:rPr>
          <w:rFonts w:ascii="Calibri" w:cs="Calibri" w:eastAsia="Calibri" w:hAnsi="Calibri"/>
          <w:b/>
          <w:bCs/>
          <w:sz w:val="22"/>
          <w:szCs w:val="22"/>
        </w:rPr>
        <w:t xml:space="preserve">Het ontwikkelpad van de business case.</w:t>
      </w:r>
      <w:r>
        <w:rPr>
          <w:rFonts w:ascii="Calibri" w:cs="Calibri" w:eastAsia="Calibri" w:hAnsi="Calibri"/>
          <w:sz w:val="22"/>
          <w:szCs w:val="22"/>
        </w:rPr>
        <w:t xml:space="preserve"> De business case is geen eenmalig document maar evolueert met het project mee: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Processtap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Status van de business case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Starting up a project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Outline business case — grove inschatting, onderdeel van de project brief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Initiating a project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Detailed business case — volledig uitgewerkt, onderdeel van het PID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Elke faseovergang / managing a stage boundary</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Updated business case — herijkt tegen de actuele situatie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Closing a project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Verified business case — getoetst of de voorspelde baten aannemelijk (nog) haalbaar zijn</w:t>
            </w:r>
          </w:p>
        </w:tc>
      </w:tr>
    </w:tbl>
    <w:p>
      <w:pPr>
        <w:spacing w:after="140" w:line="300"/>
      </w:pPr>
      <w:r>
        <w:rPr>
          <w:rFonts w:ascii="Calibri" w:cs="Calibri" w:eastAsia="Calibri" w:hAnsi="Calibri"/>
          <w:sz w:val="22"/>
          <w:szCs w:val="22"/>
        </w:rPr>
        <w:t xml:space="preserve">Dit ontwikkelpad ís het antwoord op bevinding 1: een business case die alleen bij de start bestaat, mist drie van de vier verplichte momenten.</w:t>
      </w:r>
    </w:p>
    <w:p>
      <w:pPr>
        <w:spacing w:after="140" w:line="300"/>
      </w:pPr>
      <w:r>
        <w:rPr>
          <w:rFonts w:ascii="Calibri" w:cs="Calibri" w:eastAsia="Calibri" w:hAnsi="Calibri"/>
          <w:b/>
          <w:bCs/>
          <w:sz w:val="22"/>
          <w:szCs w:val="22"/>
        </w:rPr>
        <w:t xml:space="preserve">Investeringsanalyse-technieken</w:t>
      </w:r>
      <w:r>
        <w:rPr>
          <w:rFonts w:ascii="Calibri" w:cs="Calibri" w:eastAsia="Calibri" w:hAnsi="Calibri"/>
          <w:sz w:val="22"/>
          <w:szCs w:val="22"/>
        </w:rPr>
        <w:t xml:space="preserve"> (een greep, relevant voor zowel Foundation als Practitioner):</w:t>
      </w:r>
    </w:p>
    <w:p>
      <w:pPr>
        <w:pStyle w:val="ListParagraph"/>
        <w:numPr>
          <w:ilvl w:val="0"/>
          <w:numId w:val="1"/>
        </w:numPr>
        <w:spacing w:after="100" w:line="280"/>
      </w:pPr>
      <w:r>
        <w:rPr>
          <w:rFonts w:ascii="Calibri" w:cs="Calibri" w:eastAsia="Calibri" w:hAnsi="Calibri"/>
          <w:b/>
          <w:bCs/>
          <w:sz w:val="22"/>
          <w:szCs w:val="22"/>
        </w:rPr>
        <w:t xml:space="preserve">Whole life cost</w:t>
      </w:r>
      <w:r>
        <w:rPr>
          <w:rFonts w:ascii="Calibri" w:cs="Calibri" w:eastAsia="Calibri" w:hAnsi="Calibri"/>
          <w:sz w:val="22"/>
          <w:szCs w:val="22"/>
        </w:rPr>
        <w:t xml:space="preserve"> — totale kosten van implementatie plus doorlopende beheer- en operationele kosten.</w:t>
      </w:r>
    </w:p>
    <w:p>
      <w:pPr>
        <w:pStyle w:val="ListParagraph"/>
        <w:numPr>
          <w:ilvl w:val="0"/>
          <w:numId w:val="1"/>
        </w:numPr>
        <w:spacing w:after="100" w:line="280"/>
      </w:pPr>
      <w:r>
        <w:rPr>
          <w:rFonts w:ascii="Calibri" w:cs="Calibri" w:eastAsia="Calibri" w:hAnsi="Calibri"/>
          <w:b/>
          <w:bCs/>
          <w:sz w:val="22"/>
          <w:szCs w:val="22"/>
        </w:rPr>
        <w:t xml:space="preserve">Return on investment (ROI)</w:t>
      </w:r>
      <w:r>
        <w:rPr>
          <w:rFonts w:ascii="Calibri" w:cs="Calibri" w:eastAsia="Calibri" w:hAnsi="Calibri"/>
          <w:sz w:val="22"/>
          <w:szCs w:val="22"/>
        </w:rPr>
        <w:t xml:space="preserve"> — waarde van de baten minus de kosten, over een gedefinieerde periode.</w:t>
      </w:r>
    </w:p>
    <w:p>
      <w:pPr>
        <w:pStyle w:val="ListParagraph"/>
        <w:numPr>
          <w:ilvl w:val="0"/>
          <w:numId w:val="1"/>
        </w:numPr>
        <w:spacing w:after="100" w:line="280"/>
      </w:pPr>
      <w:r>
        <w:rPr>
          <w:rFonts w:ascii="Calibri" w:cs="Calibri" w:eastAsia="Calibri" w:hAnsi="Calibri"/>
          <w:b/>
          <w:bCs/>
          <w:sz w:val="22"/>
          <w:szCs w:val="22"/>
        </w:rPr>
        <w:t xml:space="preserve">Terugverdientijd (payback period)</w:t>
      </w:r>
      <w:r>
        <w:rPr>
          <w:rFonts w:ascii="Calibri" w:cs="Calibri" w:eastAsia="Calibri" w:hAnsi="Calibri"/>
          <w:sz w:val="22"/>
          <w:szCs w:val="22"/>
        </w:rPr>
        <w:t xml:space="preserve"> — de tijd die nodig is voordat de baten de investering hebben terugbetaald.</w:t>
      </w:r>
    </w:p>
    <w:p>
      <w:pPr>
        <w:pStyle w:val="ListParagraph"/>
        <w:numPr>
          <w:ilvl w:val="0"/>
          <w:numId w:val="1"/>
        </w:numPr>
        <w:spacing w:after="100" w:line="280"/>
      </w:pPr>
      <w:r>
        <w:rPr>
          <w:rFonts w:ascii="Calibri" w:cs="Calibri" w:eastAsia="Calibri" w:hAnsi="Calibri"/>
          <w:b/>
          <w:bCs/>
          <w:sz w:val="22"/>
          <w:szCs w:val="22"/>
        </w:rPr>
        <w:t xml:space="preserve">Discounted cash flow / netto contante waarde</w:t>
      </w:r>
      <w:r>
        <w:rPr>
          <w:rFonts w:ascii="Calibri" w:cs="Calibri" w:eastAsia="Calibri" w:hAnsi="Calibri"/>
          <w:sz w:val="22"/>
          <w:szCs w:val="22"/>
        </w:rPr>
        <w:t xml:space="preserve"> — toekomstige baten uitgedrukt in huidige geldwaarde, soms met een risico-correctie omdat niet alle baten met zekerheid zullen materialiseren.</w:t>
      </w:r>
    </w:p>
    <w:p>
      <w:pPr>
        <w:spacing w:after="140" w:line="300"/>
      </w:pPr>
      <w:r>
        <w:rPr>
          <w:rFonts w:ascii="Calibri" w:cs="Calibri" w:eastAsia="Calibri" w:hAnsi="Calibri"/>
          <w:b/>
          <w:bCs/>
          <w:sz w:val="22"/>
          <w:szCs w:val="22"/>
        </w:rPr>
        <w:t xml:space="preserve">Rollen.</w:t>
      </w:r>
      <w:r>
        <w:rPr>
          <w:rFonts w:ascii="Calibri" w:cs="Calibri" w:eastAsia="Calibri" w:hAnsi="Calibri"/>
          <w:sz w:val="22"/>
          <w:szCs w:val="22"/>
        </w:rPr>
        <w:t xml:space="preserve"> De Executive </w:t>
      </w:r>
      <w:r>
        <w:rPr>
          <w:rFonts w:ascii="Calibri" w:cs="Calibri" w:eastAsia="Calibri" w:hAnsi="Calibri"/>
          <w:b/>
          <w:bCs/>
          <w:sz w:val="22"/>
          <w:szCs w:val="22"/>
        </w:rPr>
        <w:t xml:space="preserve">bezit</w:t>
      </w:r>
      <w:r>
        <w:rPr>
          <w:rFonts w:ascii="Calibri" w:cs="Calibri" w:eastAsia="Calibri" w:hAnsi="Calibri"/>
          <w:sz w:val="22"/>
          <w:szCs w:val="22"/>
        </w:rPr>
        <w:t xml:space="preserve"> de business case — is er persoonlijk verantwoordelijk voor dat die redelijk en actueel blijft. De projectmanager </w:t>
      </w:r>
      <w:r>
        <w:rPr>
          <w:rFonts w:ascii="Calibri" w:cs="Calibri" w:eastAsia="Calibri" w:hAnsi="Calibri"/>
          <w:b/>
          <w:bCs/>
          <w:sz w:val="22"/>
          <w:szCs w:val="22"/>
        </w:rPr>
        <w:t xml:space="preserve">stelt op en onderhoudt</w:t>
      </w:r>
      <w:r>
        <w:rPr>
          <w:rFonts w:ascii="Calibri" w:cs="Calibri" w:eastAsia="Calibri" w:hAnsi="Calibri"/>
          <w:sz w:val="22"/>
          <w:szCs w:val="22"/>
        </w:rPr>
        <w:t xml:space="preserve"> de business case namens de Executive. Dit onderscheid — eigenaarschap versus opstellen — komt terug in de Organizing-practice hieronder.</w:t>
      </w:r>
    </w:p>
    <w:p>
      <w:pPr>
        <w:pStyle w:val="Heading2"/>
        <w:spacing w:after="120" w:before="200"/>
      </w:pPr>
      <w:r>
        <w:rPr>
          <w:rFonts w:ascii="Georgia" w:cs="Georgia" w:eastAsia="Georgia" w:hAnsi="Georgia"/>
          <w:b/>
          <w:bCs/>
          <w:color w:val="2563A8"/>
          <w:sz w:val="28"/>
          <w:szCs w:val="28"/>
        </w:rPr>
        <w:t xml:space="preserve">3. De Organizing-practice</w:t>
      </w:r>
    </w:p>
    <w:p>
      <w:pPr>
        <w:spacing w:after="140" w:line="300"/>
      </w:pPr>
      <w:r>
        <w:rPr>
          <w:rFonts w:ascii="Calibri" w:cs="Calibri" w:eastAsia="Calibri" w:hAnsi="Calibri"/>
          <w:b/>
          <w:bCs/>
          <w:sz w:val="22"/>
          <w:szCs w:val="22"/>
        </w:rPr>
        <w:t xml:space="preserve">Doel.</w:t>
      </w:r>
      <w:r>
        <w:rPr>
          <w:rFonts w:ascii="Calibri" w:cs="Calibri" w:eastAsia="Calibri" w:hAnsi="Calibri"/>
          <w:sz w:val="22"/>
          <w:szCs w:val="22"/>
        </w:rPr>
        <w:t xml:space="preserve"> Organizing legt vast </w:t>
      </w:r>
      <w:r>
        <w:rPr>
          <w:rFonts w:ascii="Calibri" w:cs="Calibri" w:eastAsia="Calibri" w:hAnsi="Calibri"/>
          <w:b/>
          <w:bCs/>
          <w:sz w:val="22"/>
          <w:szCs w:val="22"/>
        </w:rPr>
        <w:t xml:space="preserve">wie welk besluit mag nemen</w:t>
      </w:r>
      <w:r>
        <w:rPr>
          <w:rFonts w:ascii="Calibri" w:cs="Calibri" w:eastAsia="Calibri" w:hAnsi="Calibri"/>
          <w:sz w:val="22"/>
          <w:szCs w:val="22"/>
        </w:rPr>
        <w:t xml:space="preserve"> en hoe de verantwoordelijkheden binnen het project zijn verdeeld — de operationalisering van principe 3. PRINCE2 onderscheidt drie hoofdbelangen die altijd vertegenwoordigd moeten zijn:</w:t>
      </w:r>
    </w:p>
    <w:p>
      <w:pPr>
        <w:pStyle w:val="ListParagraph"/>
        <w:numPr>
          <w:ilvl w:val="0"/>
          <w:numId w:val="1"/>
        </w:numPr>
        <w:spacing w:after="100" w:line="280"/>
      </w:pPr>
      <w:r>
        <w:rPr>
          <w:rFonts w:ascii="Calibri" w:cs="Calibri" w:eastAsia="Calibri" w:hAnsi="Calibri"/>
          <w:b/>
          <w:bCs/>
          <w:sz w:val="22"/>
          <w:szCs w:val="22"/>
        </w:rPr>
        <w:t xml:space="preserve">Business</w:t>
      </w:r>
      <w:r>
        <w:rPr>
          <w:rFonts w:ascii="Calibri" w:cs="Calibri" w:eastAsia="Calibri" w:hAnsi="Calibri"/>
          <w:sz w:val="22"/>
          <w:szCs w:val="22"/>
        </w:rPr>
        <w:t xml:space="preserve"> — is dit project geld waard? Vertegenwoordigd door de </w:t>
      </w:r>
      <w:r>
        <w:rPr>
          <w:rFonts w:ascii="Calibri" w:cs="Calibri" w:eastAsia="Calibri" w:hAnsi="Calibri"/>
          <w:b/>
          <w:bCs/>
          <w:sz w:val="22"/>
          <w:szCs w:val="22"/>
        </w:rPr>
        <w:t xml:space="preserve">Executive</w:t>
      </w:r>
      <w:r>
        <w:rPr>
          <w:rFonts w:ascii="Calibri" w:cs="Calibri" w:eastAsia="Calibri" w:hAnsi="Calibri"/>
          <w:sz w:val="22"/>
          <w:szCs w:val="22"/>
        </w:rPr>
        <w:t xml:space="preserve">.</w:t>
      </w:r>
    </w:p>
    <w:p>
      <w:pPr>
        <w:pStyle w:val="ListParagraph"/>
        <w:numPr>
          <w:ilvl w:val="0"/>
          <w:numId w:val="1"/>
        </w:numPr>
        <w:spacing w:after="100" w:line="280"/>
      </w:pPr>
      <w:r>
        <w:rPr>
          <w:rFonts w:ascii="Calibri" w:cs="Calibri" w:eastAsia="Calibri" w:hAnsi="Calibri"/>
          <w:b/>
          <w:bCs/>
          <w:sz w:val="22"/>
          <w:szCs w:val="22"/>
        </w:rPr>
        <w:t xml:space="preserve">Gebruiker</w:t>
      </w:r>
      <w:r>
        <w:rPr>
          <w:rFonts w:ascii="Calibri" w:cs="Calibri" w:eastAsia="Calibri" w:hAnsi="Calibri"/>
          <w:sz w:val="22"/>
          <w:szCs w:val="22"/>
        </w:rPr>
        <w:t xml:space="preserve"> — krijgen wij, die de outputs gaan gebruiken of beheren, wat we nodig hebben? Vertegenwoordigd door de </w:t>
      </w:r>
      <w:r>
        <w:rPr>
          <w:rFonts w:ascii="Calibri" w:cs="Calibri" w:eastAsia="Calibri" w:hAnsi="Calibri"/>
          <w:b/>
          <w:bCs/>
          <w:sz w:val="22"/>
          <w:szCs w:val="22"/>
        </w:rPr>
        <w:t xml:space="preserve">Senior User</w:t>
      </w:r>
      <w:r>
        <w:rPr>
          <w:rFonts w:ascii="Calibri" w:cs="Calibri" w:eastAsia="Calibri" w:hAnsi="Calibri"/>
          <w:sz w:val="22"/>
          <w:szCs w:val="22"/>
        </w:rPr>
        <w:t xml:space="preserve"> (er kunnen er meerdere zijn, die als één stem optreden).</w:t>
      </w:r>
    </w:p>
    <w:p>
      <w:pPr>
        <w:pStyle w:val="ListParagraph"/>
        <w:numPr>
          <w:ilvl w:val="0"/>
          <w:numId w:val="1"/>
        </w:numPr>
        <w:spacing w:after="100" w:line="280"/>
      </w:pPr>
      <w:r>
        <w:rPr>
          <w:rFonts w:ascii="Calibri" w:cs="Calibri" w:eastAsia="Calibri" w:hAnsi="Calibri"/>
          <w:b/>
          <w:bCs/>
          <w:sz w:val="22"/>
          <w:szCs w:val="22"/>
        </w:rPr>
        <w:t xml:space="preserve">Leverancier</w:t>
      </w:r>
      <w:r>
        <w:rPr>
          <w:rFonts w:ascii="Calibri" w:cs="Calibri" w:eastAsia="Calibri" w:hAnsi="Calibri"/>
          <w:sz w:val="22"/>
          <w:szCs w:val="22"/>
        </w:rPr>
        <w:t xml:space="preserve"> — kunnen wij, die de outputs gaan bouwen, dit realiseren? Vertegenwoordigd door de </w:t>
      </w:r>
      <w:r>
        <w:rPr>
          <w:rFonts w:ascii="Calibri" w:cs="Calibri" w:eastAsia="Calibri" w:hAnsi="Calibri"/>
          <w:b/>
          <w:bCs/>
          <w:sz w:val="22"/>
          <w:szCs w:val="22"/>
        </w:rPr>
        <w:t xml:space="preserve">Senior Supplier</w:t>
      </w:r>
      <w:r>
        <w:rPr>
          <w:rFonts w:ascii="Calibri" w:cs="Calibri" w:eastAsia="Calibri" w:hAnsi="Calibri"/>
          <w:sz w:val="22"/>
          <w:szCs w:val="22"/>
        </w:rPr>
        <w:t xml:space="preserve">.</w:t>
      </w:r>
    </w:p>
    <w:p>
      <w:pPr>
        <w:spacing w:after="140" w:line="300"/>
      </w:pPr>
      <w:r>
        <w:rPr>
          <w:rFonts w:ascii="Calibri" w:cs="Calibri" w:eastAsia="Calibri" w:hAnsi="Calibri"/>
          <w:b/>
          <w:bCs/>
          <w:sz w:val="22"/>
          <w:szCs w:val="22"/>
        </w:rPr>
        <w:t xml:space="preserve">Zeven rollen</w:t>
      </w:r>
      <w:r>
        <w:rPr>
          <w:rFonts w:ascii="Calibri" w:cs="Calibri" w:eastAsia="Calibri" w:hAnsi="Calibri"/>
          <w:sz w:val="22"/>
          <w:szCs w:val="22"/>
        </w:rPr>
        <w:t xml:space="preserve"> (in de zevende editie teruggebracht van negen naar zeven):</w:t>
      </w:r>
    </w:p>
    <w:p>
      <w:pPr>
        <w:spacing w:after="120" w:line="280"/>
        <w:ind w:left="360" w:hanging="360"/>
      </w:pPr>
      <w:r>
        <w:rPr>
          <w:rFonts w:ascii="Calibri" w:cs="Calibri" w:eastAsia="Calibri" w:hAnsi="Calibri"/>
          <w:b/>
          <w:bCs/>
          <w:color w:val="14213D"/>
          <w:sz w:val="22"/>
          <w:szCs w:val="22"/>
        </w:rPr>
        <w:t xml:space="preserve">1. </w:t>
      </w:r>
      <w:r>
        <w:rPr>
          <w:rFonts w:ascii="Calibri" w:cs="Calibri" w:eastAsia="Calibri" w:hAnsi="Calibri"/>
          <w:b/>
          <w:bCs/>
          <w:sz w:val="22"/>
          <w:szCs w:val="22"/>
        </w:rPr>
        <w:t xml:space="preserve">Executive</w:t>
      </w:r>
      <w:r>
        <w:rPr>
          <w:rFonts w:ascii="Calibri" w:cs="Calibri" w:eastAsia="Calibri" w:hAnsi="Calibri"/>
          <w:sz w:val="22"/>
          <w:szCs w:val="22"/>
        </w:rPr>
        <w:t xml:space="preserve"> — eindverantwoordelijk voor het project, bezit de business case, voorzitter van de stuurgroep.</w:t>
      </w:r>
    </w:p>
    <w:p>
      <w:pPr>
        <w:spacing w:after="120" w:line="280"/>
        <w:ind w:left="360" w:hanging="360"/>
      </w:pPr>
      <w:r>
        <w:rPr>
          <w:rFonts w:ascii="Calibri" w:cs="Calibri" w:eastAsia="Calibri" w:hAnsi="Calibri"/>
          <w:b/>
          <w:bCs/>
          <w:color w:val="14213D"/>
          <w:sz w:val="22"/>
          <w:szCs w:val="22"/>
        </w:rPr>
        <w:t xml:space="preserve">2. </w:t>
      </w:r>
      <w:r>
        <w:rPr>
          <w:rFonts w:ascii="Calibri" w:cs="Calibri" w:eastAsia="Calibri" w:hAnsi="Calibri"/>
          <w:b/>
          <w:bCs/>
          <w:sz w:val="22"/>
          <w:szCs w:val="22"/>
        </w:rPr>
        <w:t xml:space="preserve">Senior User</w:t>
      </w:r>
      <w:r>
        <w:rPr>
          <w:rFonts w:ascii="Calibri" w:cs="Calibri" w:eastAsia="Calibri" w:hAnsi="Calibri"/>
          <w:sz w:val="22"/>
          <w:szCs w:val="22"/>
        </w:rPr>
        <w:t xml:space="preserve"> — vertegenwoordigt de gebruikersbelangen, specificeert requirements, zorgt voor acceptatietests.</w:t>
      </w:r>
    </w:p>
    <w:p>
      <w:pPr>
        <w:spacing w:after="120" w:line="280"/>
        <w:ind w:left="360" w:hanging="360"/>
      </w:pPr>
      <w:r>
        <w:rPr>
          <w:rFonts w:ascii="Calibri" w:cs="Calibri" w:eastAsia="Calibri" w:hAnsi="Calibri"/>
          <w:b/>
          <w:bCs/>
          <w:color w:val="14213D"/>
          <w:sz w:val="22"/>
          <w:szCs w:val="22"/>
        </w:rPr>
        <w:t xml:space="preserve">3. </w:t>
      </w:r>
      <w:r>
        <w:rPr>
          <w:rFonts w:ascii="Calibri" w:cs="Calibri" w:eastAsia="Calibri" w:hAnsi="Calibri"/>
          <w:b/>
          <w:bCs/>
          <w:sz w:val="22"/>
          <w:szCs w:val="22"/>
        </w:rPr>
        <w:t xml:space="preserve">Senior Supplier</w:t>
      </w:r>
      <w:r>
        <w:rPr>
          <w:rFonts w:ascii="Calibri" w:cs="Calibri" w:eastAsia="Calibri" w:hAnsi="Calibri"/>
          <w:sz w:val="22"/>
          <w:szCs w:val="22"/>
        </w:rPr>
        <w:t xml:space="preserve"> — vertegenwoordigt de leveranciersbelangen, borgt haalbaarheid van de oplossing.</w:t>
      </w:r>
    </w:p>
    <w:p>
      <w:pPr>
        <w:spacing w:after="120" w:line="280"/>
        <w:ind w:left="360" w:hanging="360"/>
      </w:pPr>
      <w:r>
        <w:rPr>
          <w:rFonts w:ascii="Calibri" w:cs="Calibri" w:eastAsia="Calibri" w:hAnsi="Calibri"/>
          <w:b/>
          <w:bCs/>
          <w:color w:val="14213D"/>
          <w:sz w:val="22"/>
          <w:szCs w:val="22"/>
        </w:rPr>
        <w:t xml:space="preserve">4. </w:t>
      </w:r>
      <w:r>
        <w:rPr>
          <w:rFonts w:ascii="Calibri" w:cs="Calibri" w:eastAsia="Calibri" w:hAnsi="Calibri"/>
          <w:b/>
          <w:bCs/>
          <w:sz w:val="22"/>
          <w:szCs w:val="22"/>
        </w:rPr>
        <w:t xml:space="preserve">Project Manager</w:t>
      </w:r>
      <w:r>
        <w:rPr>
          <w:rFonts w:ascii="Calibri" w:cs="Calibri" w:eastAsia="Calibri" w:hAnsi="Calibri"/>
          <w:sz w:val="22"/>
          <w:szCs w:val="22"/>
        </w:rPr>
        <w:t xml:space="preserve"> — dagelijkse aansturing binnen de door de stuurgroep gestelde toleranties.</w:t>
      </w:r>
    </w:p>
    <w:p>
      <w:pPr>
        <w:spacing w:after="120" w:line="280"/>
        <w:ind w:left="360" w:hanging="360"/>
      </w:pPr>
      <w:r>
        <w:rPr>
          <w:rFonts w:ascii="Calibri" w:cs="Calibri" w:eastAsia="Calibri" w:hAnsi="Calibri"/>
          <w:b/>
          <w:bCs/>
          <w:color w:val="14213D"/>
          <w:sz w:val="22"/>
          <w:szCs w:val="22"/>
        </w:rPr>
        <w:t xml:space="preserve">5. </w:t>
      </w:r>
      <w:r>
        <w:rPr>
          <w:rFonts w:ascii="Calibri" w:cs="Calibri" w:eastAsia="Calibri" w:hAnsi="Calibri"/>
          <w:b/>
          <w:bCs/>
          <w:sz w:val="22"/>
          <w:szCs w:val="22"/>
        </w:rPr>
        <w:t xml:space="preserve">Team Manager</w:t>
      </w:r>
      <w:r>
        <w:rPr>
          <w:rFonts w:ascii="Calibri" w:cs="Calibri" w:eastAsia="Calibri" w:hAnsi="Calibri"/>
          <w:sz w:val="22"/>
          <w:szCs w:val="22"/>
        </w:rPr>
        <w:t xml:space="preserve"> — vertaalt plannen naar daadwerkelijk opgeleverde producten; kan intern of extern zijn.</w:t>
      </w:r>
    </w:p>
    <w:p>
      <w:pPr>
        <w:spacing w:after="120" w:line="280"/>
        <w:ind w:left="360" w:hanging="360"/>
      </w:pPr>
      <w:r>
        <w:rPr>
          <w:rFonts w:ascii="Calibri" w:cs="Calibri" w:eastAsia="Calibri" w:hAnsi="Calibri"/>
          <w:b/>
          <w:bCs/>
          <w:color w:val="14213D"/>
          <w:sz w:val="22"/>
          <w:szCs w:val="22"/>
        </w:rPr>
        <w:t xml:space="preserve">6. </w:t>
      </w:r>
      <w:r>
        <w:rPr>
          <w:rFonts w:ascii="Calibri" w:cs="Calibri" w:eastAsia="Calibri" w:hAnsi="Calibri"/>
          <w:b/>
          <w:bCs/>
          <w:sz w:val="22"/>
          <w:szCs w:val="22"/>
        </w:rPr>
        <w:t xml:space="preserve">Project Assurance</w:t>
      </w:r>
      <w:r>
        <w:rPr>
          <w:rFonts w:ascii="Calibri" w:cs="Calibri" w:eastAsia="Calibri" w:hAnsi="Calibri"/>
          <w:sz w:val="22"/>
          <w:szCs w:val="22"/>
        </w:rPr>
        <w:t xml:space="preserve"> — toetst onafhankelijk of het project goed wordt gerund, namens elk van de drie belangen; niet hetzelfde als project support.</w:t>
      </w:r>
    </w:p>
    <w:p>
      <w:pPr>
        <w:spacing w:after="120" w:line="280"/>
        <w:ind w:left="360" w:hanging="360"/>
      </w:pPr>
      <w:r>
        <w:rPr>
          <w:rFonts w:ascii="Calibri" w:cs="Calibri" w:eastAsia="Calibri" w:hAnsi="Calibri"/>
          <w:b/>
          <w:bCs/>
          <w:color w:val="14213D"/>
          <w:sz w:val="22"/>
          <w:szCs w:val="22"/>
        </w:rPr>
        <w:t xml:space="preserve">7. </w:t>
      </w:r>
      <w:r>
        <w:rPr>
          <w:rFonts w:ascii="Calibri" w:cs="Calibri" w:eastAsia="Calibri" w:hAnsi="Calibri"/>
          <w:b/>
          <w:bCs/>
          <w:sz w:val="22"/>
          <w:szCs w:val="22"/>
        </w:rPr>
        <w:t xml:space="preserve">Project Support</w:t>
      </w:r>
      <w:r>
        <w:rPr>
          <w:rFonts w:ascii="Calibri" w:cs="Calibri" w:eastAsia="Calibri" w:hAnsi="Calibri"/>
          <w:sz w:val="22"/>
          <w:szCs w:val="22"/>
        </w:rPr>
        <w:t xml:space="preserve"> — administratieve en methodologische ondersteuning (planning, documentbeheer, rapportagehulp).</w:t>
      </w:r>
    </w:p>
    <w:p>
      <w:pPr>
        <w:spacing w:after="140" w:line="300"/>
      </w:pPr>
      <w:r>
        <w:rPr>
          <w:rFonts w:ascii="Calibri" w:cs="Calibri" w:eastAsia="Calibri" w:hAnsi="Calibri"/>
          <w:sz w:val="22"/>
          <w:szCs w:val="22"/>
        </w:rPr>
        <w:t xml:space="preserve">Executive, Senior User en Senior Supplier vormen samen de </w:t>
      </w:r>
      <w:r>
        <w:rPr>
          <w:rFonts w:ascii="Calibri" w:cs="Calibri" w:eastAsia="Calibri" w:hAnsi="Calibri"/>
          <w:b/>
          <w:bCs/>
          <w:sz w:val="22"/>
          <w:szCs w:val="22"/>
        </w:rPr>
        <w:t xml:space="preserve">stuurgroep</w:t>
      </w:r>
      <w:r>
        <w:rPr>
          <w:rFonts w:ascii="Calibri" w:cs="Calibri" w:eastAsia="Calibri" w:hAnsi="Calibri"/>
          <w:sz w:val="22"/>
          <w:szCs w:val="22"/>
        </w:rPr>
        <w:t xml:space="preserve"> (project board) — het besluitvormende orgaan op het niveau direct boven de projectmanager.</w:t>
      </w:r>
    </w:p>
    <w:p>
      <w:pPr>
        <w:spacing w:after="140" w:line="300"/>
      </w:pPr>
      <w:r>
        <w:rPr>
          <w:rFonts w:ascii="Calibri" w:cs="Calibri" w:eastAsia="Calibri" w:hAnsi="Calibri"/>
          <w:b/>
          <w:bCs/>
          <w:sz w:val="22"/>
          <w:szCs w:val="22"/>
        </w:rPr>
        <w:t xml:space="preserve">Vier hiërarchische niveaus.</w:t>
      </w:r>
      <w:r>
        <w:rPr>
          <w:rFonts w:ascii="Calibri" w:cs="Calibri" w:eastAsia="Calibri" w:hAnsi="Calibri"/>
          <w:sz w:val="22"/>
          <w:szCs w:val="22"/>
        </w:rPr>
        <w:t xml:space="preserve"> PRINCE2 kent een vaste gelaagdheid:</w:t>
      </w:r>
    </w:p>
    <w:p>
      <w:pPr>
        <w:pStyle w:val="ListParagraph"/>
        <w:numPr>
          <w:ilvl w:val="0"/>
          <w:numId w:val="1"/>
        </w:numPr>
        <w:spacing w:after="100" w:line="280"/>
      </w:pPr>
      <w:r>
        <w:rPr>
          <w:rFonts w:ascii="Calibri" w:cs="Calibri" w:eastAsia="Calibri" w:hAnsi="Calibri"/>
          <w:b/>
          <w:bCs/>
          <w:sz w:val="22"/>
          <w:szCs w:val="22"/>
        </w:rPr>
        <w:t xml:space="preserve">Corporate/programmaniveau</w:t>
      </w:r>
      <w:r>
        <w:rPr>
          <w:rFonts w:ascii="Calibri" w:cs="Calibri" w:eastAsia="Calibri" w:hAnsi="Calibri"/>
          <w:sz w:val="22"/>
          <w:szCs w:val="22"/>
        </w:rPr>
        <w:t xml:space="preserve"> — buiten de projectorganisatie; geeft het projectmandaat af, stelt projectbrede toleranties, ontvangt lessen en het batenbeheerplan bij afsluiting.</w:t>
      </w:r>
    </w:p>
    <w:p>
      <w:pPr>
        <w:pStyle w:val="ListParagraph"/>
        <w:numPr>
          <w:ilvl w:val="0"/>
          <w:numId w:val="1"/>
        </w:numPr>
        <w:spacing w:after="100" w:line="280"/>
      </w:pPr>
      <w:r>
        <w:rPr>
          <w:rFonts w:ascii="Calibri" w:cs="Calibri" w:eastAsia="Calibri" w:hAnsi="Calibri"/>
          <w:b/>
          <w:bCs/>
          <w:sz w:val="22"/>
          <w:szCs w:val="22"/>
        </w:rPr>
        <w:t xml:space="preserve">Directing</w:t>
      </w:r>
      <w:r>
        <w:rPr>
          <w:rFonts w:ascii="Calibri" w:cs="Calibri" w:eastAsia="Calibri" w:hAnsi="Calibri"/>
          <w:sz w:val="22"/>
          <w:szCs w:val="22"/>
        </w:rPr>
        <w:t xml:space="preserve"> — de stuurgroep; stuurt op hoofdlijnen, neemt go/no-go-besluiten bij faseovergangen.</w:t>
      </w:r>
    </w:p>
    <w:p>
      <w:pPr>
        <w:pStyle w:val="ListParagraph"/>
        <w:numPr>
          <w:ilvl w:val="0"/>
          <w:numId w:val="1"/>
        </w:numPr>
        <w:spacing w:after="100" w:line="280"/>
      </w:pPr>
      <w:r>
        <w:rPr>
          <w:rFonts w:ascii="Calibri" w:cs="Calibri" w:eastAsia="Calibri" w:hAnsi="Calibri"/>
          <w:b/>
          <w:bCs/>
          <w:sz w:val="22"/>
          <w:szCs w:val="22"/>
        </w:rPr>
        <w:t xml:space="preserve">Managing</w:t>
      </w:r>
      <w:r>
        <w:rPr>
          <w:rFonts w:ascii="Calibri" w:cs="Calibri" w:eastAsia="Calibri" w:hAnsi="Calibri"/>
          <w:sz w:val="22"/>
          <w:szCs w:val="22"/>
        </w:rPr>
        <w:t xml:space="preserve"> — de projectmanager; stuurt de dagelijkse uitvoering binnen toleranties.</w:t>
      </w:r>
    </w:p>
    <w:p>
      <w:pPr>
        <w:pStyle w:val="ListParagraph"/>
        <w:numPr>
          <w:ilvl w:val="0"/>
          <w:numId w:val="1"/>
        </w:numPr>
        <w:spacing w:after="100" w:line="280"/>
      </w:pPr>
      <w:r>
        <w:rPr>
          <w:rFonts w:ascii="Calibri" w:cs="Calibri" w:eastAsia="Calibri" w:hAnsi="Calibri"/>
          <w:b/>
          <w:bCs/>
          <w:sz w:val="22"/>
          <w:szCs w:val="22"/>
        </w:rPr>
        <w:t xml:space="preserve">Delivering</w:t>
      </w:r>
      <w:r>
        <w:rPr>
          <w:rFonts w:ascii="Calibri" w:cs="Calibri" w:eastAsia="Calibri" w:hAnsi="Calibri"/>
          <w:sz w:val="22"/>
          <w:szCs w:val="22"/>
        </w:rPr>
        <w:t xml:space="preserve"> — de teammanager(s); leveren de daadwerkelijke producten.</w:t>
      </w:r>
    </w:p>
    <w:p>
      <w:pPr>
        <w:spacing w:after="140" w:line="300"/>
      </w:pPr>
      <w:r>
        <w:rPr>
          <w:rFonts w:ascii="Calibri" w:cs="Calibri" w:eastAsia="Calibri" w:hAnsi="Calibri"/>
          <w:b/>
          <w:bCs/>
          <w:sz w:val="22"/>
          <w:szCs w:val="22"/>
        </w:rPr>
        <w:t xml:space="preserve">Wat wel en niet gecombineerd mag worden.</w:t>
      </w:r>
      <w:r>
        <w:rPr>
          <w:rFonts w:ascii="Calibri" w:cs="Calibri" w:eastAsia="Calibri" w:hAnsi="Calibri"/>
          <w:sz w:val="22"/>
          <w:szCs w:val="22"/>
        </w:rPr>
        <w:t xml:space="preserve"> Bij kleine projecten worden rollen vaak samengevoegd (dat is legitieme tailoring, deel 2 §5) — maar niet lukraak:</w:t>
      </w:r>
    </w:p>
    <w:p>
      <w:pPr>
        <w:pStyle w:val="ListParagraph"/>
        <w:numPr>
          <w:ilvl w:val="0"/>
          <w:numId w:val="1"/>
        </w:numPr>
        <w:spacing w:after="100" w:line="280"/>
      </w:pPr>
      <w:r>
        <w:rPr>
          <w:rFonts w:ascii="Calibri" w:cs="Calibri" w:eastAsia="Calibri" w:hAnsi="Calibri"/>
          <w:sz w:val="22"/>
          <w:szCs w:val="22"/>
        </w:rPr>
        <w:t xml:space="preserve">Senior User en Senior Supplier </w:t>
      </w:r>
      <w:r>
        <w:rPr>
          <w:rFonts w:ascii="Calibri" w:cs="Calibri" w:eastAsia="Calibri" w:hAnsi="Calibri"/>
          <w:b/>
          <w:bCs/>
          <w:sz w:val="22"/>
          <w:szCs w:val="22"/>
        </w:rPr>
        <w:t xml:space="preserve">mogen</w:t>
      </w:r>
      <w:r>
        <w:rPr>
          <w:rFonts w:ascii="Calibri" w:cs="Calibri" w:eastAsia="Calibri" w:hAnsi="Calibri"/>
          <w:sz w:val="22"/>
          <w:szCs w:val="22"/>
        </w:rPr>
        <w:t xml:space="preserve"> worden gecombineerd als er geen belangenconflict is, evenals Project Assurance, Change Authority, Project Support en Team Manager.</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Executive mag nooit</w:t>
      </w:r>
      <w:r>
        <w:rPr>
          <w:rFonts w:ascii="Calibri" w:cs="Calibri" w:eastAsia="Calibri" w:hAnsi="Calibri"/>
          <w:sz w:val="22"/>
          <w:szCs w:val="22"/>
        </w:rPr>
        <w:t xml:space="preserve"> worden gecombineerd met de Project Manager-rol — toezicht en uitvoering moeten gescheiden blijven, ook op het kleinste project.</w:t>
      </w:r>
    </w:p>
    <w:p>
      <w:pPr>
        <w:pStyle w:val="ListParagraph"/>
        <w:numPr>
          <w:ilvl w:val="0"/>
          <w:numId w:val="1"/>
        </w:numPr>
        <w:spacing w:after="100" w:line="280"/>
      </w:pPr>
      <w:r>
        <w:rPr>
          <w:rFonts w:ascii="Calibri" w:cs="Calibri" w:eastAsia="Calibri" w:hAnsi="Calibri"/>
          <w:sz w:val="22"/>
          <w:szCs w:val="22"/>
        </w:rPr>
        <w:t xml:space="preserve">Project Assurance mag nooit worden gedelegeerd aan iemand die ook voor de zaken verantwoordelijk is die hij of zij controleert — anders controleert de projectmanager feitelijk zichzelf.</w:t>
      </w:r>
    </w:p>
    <w:p>
      <w:pPr>
        <w:spacing w:after="140" w:line="300"/>
      </w:pPr>
      <w:r>
        <w:rPr>
          <w:rFonts w:ascii="Calibri" w:cs="Calibri" w:eastAsia="Calibri" w:hAnsi="Calibri"/>
          <w:b/>
          <w:bCs/>
          <w:sz w:val="22"/>
          <w:szCs w:val="22"/>
        </w:rPr>
        <w:t xml:space="preserve">Change Authority</w:t>
      </w:r>
      <w:r>
        <w:rPr>
          <w:rFonts w:ascii="Calibri" w:cs="Calibri" w:eastAsia="Calibri" w:hAnsi="Calibri"/>
          <w:sz w:val="22"/>
          <w:szCs w:val="22"/>
        </w:rPr>
        <w:t xml:space="preserve"> is een optionele, te delegeren rol (vaak door de stuurgroep aan de projectmanager gemandateerd binnen een vastgestelde financiële grens) om wijzigingsverzoeken te beoordelen zonder elke keer de volledige stuurgroep te hoeven raadplegen — dit komt in deel 5 (Issues) uitgebreider terug.</w:t>
      </w:r>
    </w:p>
    <w:p>
      <w:pPr>
        <w:spacing w:after="140" w:line="300"/>
      </w:pPr>
      <w:r>
        <w:rPr>
          <w:rFonts w:ascii="Calibri" w:cs="Calibri" w:eastAsia="Calibri" w:hAnsi="Calibri"/>
          <w:b/>
          <w:bCs/>
          <w:sz w:val="22"/>
          <w:szCs w:val="22"/>
        </w:rPr>
        <w:t xml:space="preserve">Terug naar bevinding 2.</w:t>
      </w:r>
      <w:r>
        <w:rPr>
          <w:rFonts w:ascii="Calibri" w:cs="Calibri" w:eastAsia="Calibri" w:hAnsi="Calibri"/>
          <w:sz w:val="22"/>
          <w:szCs w:val="22"/>
        </w:rPr>
        <w:t xml:space="preserve"> De stuurgroep van WGP 2.0 bestond uit mensen met de juiste titel, maar zonder het onderscheid dat Organizing voorschrijft: er was geen Executive die de business case persoonlijk bezat, geen Senior User die namens de gebruikers kon spreken met mandaat, geen scheiding tussen "erover meepraten" en "erover beslissen". Rollen invullen is niet hetzelfde als een projectorganisatie inrichten die daadwerkelijk kan sturen.</w:t>
      </w:r>
    </w:p>
    <w:p>
      <w:pPr>
        <w:pStyle w:val="Heading2"/>
        <w:spacing w:after="120" w:before="200"/>
      </w:pPr>
      <w:r>
        <w:rPr>
          <w:rFonts w:ascii="Georgia" w:cs="Georgia" w:eastAsia="Georgia" w:hAnsi="Georgia"/>
          <w:b/>
          <w:bCs/>
          <w:color w:val="2563A8"/>
          <w:sz w:val="28"/>
          <w:szCs w:val="28"/>
        </w:rPr>
        <w:t xml:space="preserve">4. Toegepast op de herstart van WGP 2.0</w:t>
      </w:r>
    </w:p>
    <w:p>
      <w:pPr>
        <w:spacing w:after="140" w:line="300"/>
      </w:pPr>
      <w:r>
        <w:rPr>
          <w:rFonts w:ascii="Calibri" w:cs="Calibri" w:eastAsia="Calibri" w:hAnsi="Calibri"/>
          <w:sz w:val="22"/>
          <w:szCs w:val="22"/>
        </w:rPr>
        <w:t xml:space="preserve">Bij de herstart van WGP 2.0 moet de projectorganisatie opnieuw worden ingericht, nu volgens Organizing. Een eerste schets:</w:t>
      </w:r>
    </w:p>
    <w:p>
      <w:pPr>
        <w:pStyle w:val="ListParagraph"/>
        <w:numPr>
          <w:ilvl w:val="0"/>
          <w:numId w:val="1"/>
        </w:numPr>
        <w:spacing w:after="100" w:line="280"/>
      </w:pPr>
      <w:r>
        <w:rPr>
          <w:rFonts w:ascii="Calibri" w:cs="Calibri" w:eastAsia="Calibri" w:hAnsi="Calibri"/>
          <w:b/>
          <w:bCs/>
          <w:sz w:val="22"/>
          <w:szCs w:val="22"/>
        </w:rPr>
        <w:t xml:space="preserve">Executive</w:t>
      </w:r>
      <w:r>
        <w:rPr>
          <w:rFonts w:ascii="Calibri" w:cs="Calibri" w:eastAsia="Calibri" w:hAnsi="Calibri"/>
          <w:sz w:val="22"/>
          <w:szCs w:val="22"/>
        </w:rPr>
        <w:t xml:space="preserve">: een lid van de directie van Meridiaan, met persoonlijk mandaat om het project te stoppen als de business case dat rechtvaardigt.</w:t>
      </w:r>
    </w:p>
    <w:p>
      <w:pPr>
        <w:pStyle w:val="ListParagraph"/>
        <w:numPr>
          <w:ilvl w:val="0"/>
          <w:numId w:val="1"/>
        </w:numPr>
        <w:spacing w:after="100" w:line="280"/>
      </w:pPr>
      <w:r>
        <w:rPr>
          <w:rFonts w:ascii="Calibri" w:cs="Calibri" w:eastAsia="Calibri" w:hAnsi="Calibri"/>
          <w:b/>
          <w:bCs/>
          <w:sz w:val="22"/>
          <w:szCs w:val="22"/>
        </w:rPr>
        <w:t xml:space="preserve">Senior User</w:t>
      </w:r>
      <w:r>
        <w:rPr>
          <w:rFonts w:ascii="Calibri" w:cs="Calibri" w:eastAsia="Calibri" w:hAnsi="Calibri"/>
          <w:sz w:val="22"/>
          <w:szCs w:val="22"/>
        </w:rPr>
        <w:t xml:space="preserve">: het hoofd van de afdeling Klantcontact, namens de werkgevers en de eigen medewerkers die het portaal gaan gebruiken.</w:t>
      </w:r>
    </w:p>
    <w:p>
      <w:pPr>
        <w:pStyle w:val="ListParagraph"/>
        <w:numPr>
          <w:ilvl w:val="0"/>
          <w:numId w:val="1"/>
        </w:numPr>
        <w:spacing w:after="100" w:line="280"/>
      </w:pPr>
      <w:r>
        <w:rPr>
          <w:rFonts w:ascii="Calibri" w:cs="Calibri" w:eastAsia="Calibri" w:hAnsi="Calibri"/>
          <w:b/>
          <w:bCs/>
          <w:sz w:val="22"/>
          <w:szCs w:val="22"/>
        </w:rPr>
        <w:t xml:space="preserve">Senior Supplier</w:t>
      </w:r>
      <w:r>
        <w:rPr>
          <w:rFonts w:ascii="Calibri" w:cs="Calibri" w:eastAsia="Calibri" w:hAnsi="Calibri"/>
          <w:sz w:val="22"/>
          <w:szCs w:val="22"/>
        </w:rPr>
        <w:t xml:space="preserve">: het hoofd IT, of — als het portaal extern wordt gebouwd — een vertegenwoordiger van de leverancier met doorzettingsmacht.</w:t>
      </w:r>
    </w:p>
    <w:p>
      <w:pPr>
        <w:spacing w:after="140" w:line="300"/>
      </w:pPr>
      <w:r>
        <w:rPr>
          <w:rFonts w:ascii="Calibri" w:cs="Calibri" w:eastAsia="Calibri" w:hAnsi="Calibri"/>
          <w:sz w:val="22"/>
          <w:szCs w:val="22"/>
        </w:rPr>
        <w:t xml:space="preserve">Deze indeling komt in deel 10 terug bij de capstone, waarin een volledig Project Initiation Document — inclusief business case en organisatiestructuur — wordt verdedigd voor precies deze drie rollen.</w:t>
      </w:r>
    </w:p>
    <w:p>
      <w:pPr>
        <w:pStyle w:val="Heading2"/>
        <w:spacing w:after="120" w:before="200"/>
      </w:pPr>
      <w:r>
        <w:rPr>
          <w:rFonts w:ascii="Georgia" w:cs="Georgia" w:eastAsia="Georgia" w:hAnsi="Georgia"/>
          <w:b/>
          <w:bCs/>
          <w:color w:val="2563A8"/>
          <w:sz w:val="28"/>
          <w:szCs w:val="28"/>
        </w:rPr>
        <w:t xml:space="preserve">5. Vooruitblik</w:t>
      </w:r>
    </w:p>
    <w:p>
      <w:pPr>
        <w:spacing w:after="140" w:line="300"/>
      </w:pPr>
      <w:r>
        <w:rPr>
          <w:rFonts w:ascii="Calibri" w:cs="Calibri" w:eastAsia="Calibri" w:hAnsi="Calibri"/>
          <w:sz w:val="22"/>
          <w:szCs w:val="22"/>
        </w:rPr>
        <w:t xml:space="preserve">Deel 4 behandelt de Plans-practice: hoe je, met Focus on products (principe 6) als uitgangspunt, een productgerichte planning opbouwt in plaats van een activiteitenplanning.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3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2026-08-17T07:32:21.177Z</dcterms:created>
  <dcterms:modified xsi:type="dcterms:W3CDTF">2026-08-17T07:32:21.179Z</dcterms:modified>
</cp:coreProperties>
</file>

<file path=docProps/custom.xml><?xml version="1.0" encoding="utf-8"?>
<Properties xmlns="http://schemas.openxmlformats.org/officeDocument/2006/custom-properties" xmlns:vt="http://schemas.openxmlformats.org/officeDocument/2006/docPropsVTypes"/>
</file>