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3 — Practices: Business Case en Organizing</w:t>
      </w:r>
    </w:p>
    <w:p>
      <w:pPr>
        <w:spacing w:after="300"/>
      </w:pPr>
      <w:r>
        <w:rPr>
          <w:rFonts w:ascii="Calibri" w:cs="Calibri" w:eastAsia="Calibri" w:hAnsi="Calibri"/>
          <w:i/>
          <w:iCs/>
          <w:color w:val="2563A8"/>
          <w:sz w:val="22"/>
          <w:szCs w:val="22"/>
        </w:rPr>
        <w:t xml:space="preserve">Niveau 1 Fundament · Project- en Programmamanagement</w:t>
      </w:r>
    </w:p>
    <w:p>
      <w:pPr>
        <w:pStyle w:val="Heading2"/>
        <w:spacing w:after="120" w:before="200"/>
      </w:pPr>
      <w:r>
        <w:rPr>
          <w:rFonts w:ascii="Georgia" w:cs="Georgia" w:eastAsia="Georgia" w:hAnsi="Georgia"/>
          <w:b/>
          <w:bCs/>
          <w:color w:val="2563A8"/>
          <w:sz w:val="28"/>
          <w:szCs w:val="28"/>
        </w:rPr>
        <w:t xml:space="preserve">Opdracht 3.1 — De waardeketen toepassen (individueel, 15 min)</w:t>
      </w:r>
    </w:p>
    <w:p>
      <w:pPr>
        <w:spacing w:after="140" w:line="300"/>
      </w:pPr>
      <w:r>
        <w:rPr>
          <w:rFonts w:ascii="Calibri" w:cs="Calibri" w:eastAsia="Calibri" w:hAnsi="Calibri"/>
          <w:sz w:val="22"/>
          <w:szCs w:val="22"/>
        </w:rPr>
        <w:t xml:space="preserve">Meridiaan overweegt een tweede project: een chatbot die eenvoudige vragen van deelnemers over hun pensioenoverzicht automatisch beantwoordt.</w:t>
      </w:r>
    </w:p>
    <w:p>
      <w:pPr>
        <w:spacing w:after="140" w:line="300"/>
      </w:pPr>
      <w:r>
        <w:rPr>
          <w:rFonts w:ascii="Calibri" w:cs="Calibri" w:eastAsia="Calibri" w:hAnsi="Calibri"/>
          <w:sz w:val="22"/>
          <w:szCs w:val="22"/>
        </w:rPr>
        <w:t xml:space="preserve">Vul voor dit project de keten output → capability → outcome → benefit (en minstens één dis-benefit) in, met concrete, meetbare voorbeelden. Wees kritisch: een "outcome" is geen product en een "benefit" moet meetbaar zijn, geen vage intentie als "betere service".</w:t>
      </w:r>
    </w:p>
    <w:p>
      <w:pPr>
        <w:pStyle w:val="Heading2"/>
        <w:spacing w:after="120" w:before="200"/>
      </w:pPr>
      <w:r>
        <w:rPr>
          <w:rFonts w:ascii="Georgia" w:cs="Georgia" w:eastAsia="Georgia" w:hAnsi="Georgia"/>
          <w:b/>
          <w:bCs/>
          <w:color w:val="2563A8"/>
          <w:sz w:val="28"/>
          <w:szCs w:val="28"/>
        </w:rPr>
        <w:t xml:space="preserve">Opdracht 3.2 — Het ontwikkelpad van de business case (tweetallen, 10 min)</w:t>
      </w:r>
    </w:p>
    <w:p>
      <w:pPr>
        <w:spacing w:after="140" w:line="300"/>
      </w:pPr>
      <w:r>
        <w:rPr>
          <w:rFonts w:ascii="Calibri" w:cs="Calibri" w:eastAsia="Calibri" w:hAnsi="Calibri"/>
          <w:sz w:val="22"/>
          <w:szCs w:val="22"/>
        </w:rPr>
        <w:t xml:space="preserve">Plaats de volgende vier gebeurtenissen in de juiste volgorde en koppel elk aan de bijbehorende status van de business case (outline / detailed / updated / verified):</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De stuurgroep besluit, drie maanden voor livegang, dat het project op basis van de laatste cijfers nog steeds haalbaar is.</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Executive geeft bij de allereerste projectbrief een grove inschatting van kosten en baten.</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Zes maanden na oplevering wordt getoetst of de voorspelde 40% kortere doorlooptijd daadwerkelijk is gerealiseerd.</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Tijdens het opstellen van het PID wordt de business case volledig uitgewerkt, inclusief investeringsanalyse.</w:t>
      </w:r>
    </w:p>
    <w:p>
      <w:pPr>
        <w:pStyle w:val="Heading2"/>
        <w:spacing w:after="120" w:before="200"/>
      </w:pPr>
      <w:r>
        <w:rPr>
          <w:rFonts w:ascii="Georgia" w:cs="Georgia" w:eastAsia="Georgia" w:hAnsi="Georgia"/>
          <w:b/>
          <w:bCs/>
          <w:color w:val="2563A8"/>
          <w:sz w:val="28"/>
          <w:szCs w:val="28"/>
        </w:rPr>
        <w:t xml:space="preserve">Opdracht 3.3 — Rollen toewijzen bij Meridiaan (klassikaal, 20 min)</w:t>
      </w:r>
    </w:p>
    <w:p>
      <w:pPr>
        <w:spacing w:after="140" w:line="300"/>
      </w:pPr>
      <w:r>
        <w:rPr>
          <w:rFonts w:ascii="Calibri" w:cs="Calibri" w:eastAsia="Calibri" w:hAnsi="Calibri"/>
          <w:sz w:val="22"/>
          <w:szCs w:val="22"/>
        </w:rPr>
        <w:t xml:space="preserve">Onderstaande personen zijn kandidaten voor de projectorganisatie van de herstart van WGP 2.0. Wijs elk een rol toe (Executive, Senior User, Senior Supplier, Project Manager, Team Manager, Project Assurance, Project Support) en beargumenteer welk belang (business/gebruiker/leverancier) ze vertegenwoordigen — of leg uit waarom iemand júist niet geschikt is voor een bepaalde rol.</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Een lid van de raad van bestuur, verantwoordelijk voor de digitaliseringsstrategie.</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Het hoofd van de afdeling Klantcontact, die dagelijks met werkgeversvragen te maken heeft.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De IT-directeur, verantwoordelijk voor alle bouwcapaciteit.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Een ervaren projectmanager die net de herstart van een ander Meridiaan-project heeft afgerond.</w:t>
      </w:r>
    </w:p>
    <w:p>
      <w:pPr>
        <w:spacing w:after="120" w:line="280"/>
        <w:ind w:left="360" w:hanging="360"/>
      </w:pPr>
      <w:r>
        <w:rPr>
          <w:rFonts w:ascii="Calibri" w:cs="Calibri" w:eastAsia="Calibri" w:hAnsi="Calibri"/>
          <w:b/>
          <w:bCs/>
          <w:color w:val="2563A8"/>
          <w:sz w:val="22"/>
          <w:szCs w:val="22"/>
        </w:rPr>
        <w:t xml:space="preserve">e. </w:t>
      </w:r>
      <w:r>
        <w:rPr>
          <w:rFonts w:ascii="Calibri" w:cs="Calibri" w:eastAsia="Calibri" w:hAnsi="Calibri"/>
          <w:sz w:val="22"/>
          <w:szCs w:val="22"/>
        </w:rPr>
        <w:t xml:space="preserve">Een controller uit de financiële afdeling, gevraagd om onafhankelijk te toetsen of de projectmanager de business case correct bijhoudt.</w:t>
      </w:r>
    </w:p>
    <w:p>
      <w:pPr>
        <w:spacing w:after="120" w:line="280"/>
        <w:ind w:left="360" w:hanging="360"/>
      </w:pPr>
      <w:r>
        <w:rPr>
          <w:rFonts w:ascii="Calibri" w:cs="Calibri" w:eastAsia="Calibri" w:hAnsi="Calibri"/>
          <w:b/>
          <w:bCs/>
          <w:color w:val="2563A8"/>
          <w:sz w:val="22"/>
          <w:szCs w:val="22"/>
        </w:rPr>
        <w:t xml:space="preserve">f. </w:t>
      </w:r>
      <w:r>
        <w:rPr>
          <w:rFonts w:ascii="Calibri" w:cs="Calibri" w:eastAsia="Calibri" w:hAnsi="Calibri"/>
          <w:sz w:val="22"/>
          <w:szCs w:val="22"/>
        </w:rPr>
        <w:t xml:space="preserve">De projectmanager zelf, die voorstelt ook de rol van Executive op zich te nemen "om sneller te kunnen schakelen".</w:t>
      </w:r>
    </w:p>
    <w:p>
      <w:pPr>
        <w:pStyle w:val="Heading2"/>
        <w:spacing w:after="120" w:before="200"/>
      </w:pPr>
      <w:r>
        <w:rPr>
          <w:rFonts w:ascii="Georgia" w:cs="Georgia" w:eastAsia="Georgia" w:hAnsi="Georgia"/>
          <w:b/>
          <w:bCs/>
          <w:color w:val="2563A8"/>
          <w:sz w:val="28"/>
          <w:szCs w:val="28"/>
        </w:rPr>
        <w:t xml:space="preserve">Opdracht 3.4 — Combineren van rollen (klassikaal, 10 min)</w:t>
      </w:r>
    </w:p>
    <w:p>
      <w:pPr>
        <w:spacing w:after="140" w:line="300"/>
      </w:pPr>
      <w:r>
        <w:rPr>
          <w:rFonts w:ascii="Calibri" w:cs="Calibri" w:eastAsia="Calibri" w:hAnsi="Calibri"/>
          <w:sz w:val="22"/>
          <w:szCs w:val="22"/>
        </w:rPr>
        <w:t xml:space="preserve">Beoordeel voor elk van de volgende voorstellen of het is toegestaan volgens de Organizing-practice, en waarom.</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Senior User en Senior Supplier worden door dezelfde persoon vervuld, omdat de afdeling Klantcontact ook zelf een deel van de bouw doet.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De Executive vervult ook de rol van Project Manager, "voor de duidelijkheid van één aanspreekpunt".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Project Support wordt gecombineerd met Team Manager op een klein project.</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Project Assurance wordt belegd bij de projectmanager zelf, omdat die toch het beste zicht heeft op de voortgang.</w:t>
      </w:r>
    </w:p>
    <w:p>
      <w:pPr>
        <w:pStyle w:val="Heading2"/>
        <w:spacing w:after="120" w:before="200"/>
      </w:pPr>
      <w:r>
        <w:rPr>
          <w:rFonts w:ascii="Georgia" w:cs="Georgia" w:eastAsia="Georgia" w:hAnsi="Georgia"/>
          <w:b/>
          <w:bCs/>
          <w:color w:val="2563A8"/>
          <w:sz w:val="28"/>
          <w:szCs w:val="28"/>
        </w:rPr>
        <w:t xml:space="preserve">Reflectievraag (afsluitend)</w:t>
      </w:r>
    </w:p>
    <w:p>
      <w:pPr>
        <w:spacing w:after="140" w:line="300"/>
      </w:pPr>
      <w:r>
        <w:rPr>
          <w:rFonts w:ascii="Calibri" w:cs="Calibri" w:eastAsia="Calibri" w:hAnsi="Calibri"/>
          <w:sz w:val="22"/>
          <w:szCs w:val="22"/>
        </w:rPr>
        <w:t xml:space="preserve">Bevinding 7 uit deel 1 ("geen zicht op baten") is nu twee keer geadresseerd: door principe 7 (tailor to suit the project, deel 2) en door de Business Case-practice (dit deel). Kun je uitleggen wat het verschil in nadruk is tussen die twee — wat voegt de practice toe aan wat het principe al zei?</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1 Fundament · Deel 3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2026-08-17T07:32:21.295Z</dcterms:created>
  <dcterms:modified xsi:type="dcterms:W3CDTF">2026-08-17T07:32:21.295Z</dcterms:modified>
</cp:coreProperties>
</file>

<file path=docProps/custom.xml><?xml version="1.0" encoding="utf-8"?>
<Properties xmlns="http://schemas.openxmlformats.org/officeDocument/2006/custom-properties" xmlns:vt="http://schemas.openxmlformats.org/officeDocument/2006/docPropsVTypes"/>
</file>