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4 — Practice: Plans</w:t>
      </w:r>
    </w:p>
    <w:p>
      <w:pPr>
        <w:spacing w:after="300"/>
      </w:pPr>
      <w:r>
        <w:rPr>
          <w:rFonts w:ascii="Calibri" w:cs="Calibri" w:eastAsia="Calibri" w:hAnsi="Calibri"/>
          <w:i/>
          <w:iCs/>
          <w:color w:val="2563A8"/>
          <w:sz w:val="22"/>
          <w:szCs w:val="22"/>
        </w:rPr>
        <w:t xml:space="preserve">Niveau 1 Fundament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4 (van 10 in niveau 1)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de product-based planning-techniek daadwerkelijk laten uitvoeren, niet alleen laten herkennen. Dit deel is praktischer dan de vorige drie — de tijdsverdeling weerspiegelt dat, met een langere opdracht (4.2) als hoofdmoot.</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principe 6, en waarom bevinding 4 hier wordt gesloten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Plans-practice: doel en de vier planniveaus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Product-based planning: de vier stappen (reader §3), met het barbecue-voorbeeld of een vergelijkbaar laagdrempelig voorbeeld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interactief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4.2 (a–b: PPD en PBS)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Korte plenaire vergelijking van PBS'en tussen tweetallen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4.2 (c–d: productbeschrijvingen en PFD)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Van producten naar activiteiten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4.3 en 4.4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bevinding 4, 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Gebruik voor de introductie van PBS/PFD een laagdrempelig, niet-Meridiaan voorbeeld</w:t>
      </w:r>
      <w:r>
        <w:rPr>
          <w:rFonts w:ascii="Calibri" w:cs="Calibri" w:eastAsia="Calibri" w:hAnsi="Calibri"/>
          <w:sz w:val="22"/>
          <w:szCs w:val="22"/>
        </w:rPr>
        <w:t xml:space="preserve"> (een barbecue, een verhuizing, het organiseren van een feestje) voordat je teruggaat naar de projectcasus. Dat voorkomt dat deelnemers vastlopen in domeinkennis over pensioenadministratie terwijl ze eigenlijk de tekentechniek zelf moeten leren. Pas ná dat voorbeeld ga je naar opdracht 4.2 met de Meridiaan-casus.</w:t>
      </w:r>
    </w:p>
    <w:p>
      <w:pPr>
        <w:pStyle w:val="ListParagraph"/>
        <w:numPr>
          <w:ilvl w:val="0"/>
          <w:numId w:val="1"/>
        </w:numPr>
        <w:spacing w:after="100" w:line="280"/>
      </w:pPr>
      <w:r>
        <w:rPr>
          <w:rFonts w:ascii="Calibri" w:cs="Calibri" w:eastAsia="Calibri" w:hAnsi="Calibri"/>
          <w:b/>
          <w:bCs/>
          <w:sz w:val="22"/>
          <w:szCs w:val="22"/>
        </w:rPr>
        <w:t xml:space="preserve">Bij het bouwen van een PBS lopen tweetallen bijna altijd vast op het onderscheid tussen een "groep" en een "product".</w:t>
      </w:r>
      <w:r>
        <w:rPr>
          <w:rFonts w:ascii="Calibri" w:cs="Calibri" w:eastAsia="Calibri" w:hAnsi="Calibri"/>
          <w:sz w:val="22"/>
          <w:szCs w:val="22"/>
        </w:rPr>
        <w:t xml:space="preserve"> Een groepsknoop (bijvoorbeeld "Authenticatie &amp; autorisatie") is zelf niets dat wordt opgeleverd — het is een verzamelnaam. Laat expliciet benoemen: "zou je dit knooppunt ooit zelfstandig kunnen afvinken als 'klaar'?" Zo niet, dan is het een groep, geen product.</w:t>
      </w:r>
    </w:p>
    <w:p>
      <w:pPr>
        <w:pStyle w:val="ListParagraph"/>
        <w:numPr>
          <w:ilvl w:val="0"/>
          <w:numId w:val="1"/>
        </w:numPr>
        <w:spacing w:after="100" w:line="280"/>
      </w:pPr>
      <w:r>
        <w:rPr>
          <w:rFonts w:ascii="Calibri" w:cs="Calibri" w:eastAsia="Calibri" w:hAnsi="Calibri"/>
          <w:b/>
          <w:bCs/>
          <w:sz w:val="22"/>
          <w:szCs w:val="22"/>
        </w:rPr>
        <w:t xml:space="preserve">Bij opdracht 4.2d (het Product Flow Diagram) is de valkuil dat deelnemers de PBS-hiërarchie één-op-één overnemen als volgorde.</w:t>
      </w:r>
      <w:r>
        <w:rPr>
          <w:rFonts w:ascii="Calibri" w:cs="Calibri" w:eastAsia="Calibri" w:hAnsi="Calibri"/>
          <w:sz w:val="22"/>
          <w:szCs w:val="22"/>
        </w:rPr>
        <w:t xml:space="preserve"> Benadruk expliciet dat een PBS géén volgorde toont — alleen samenstelling. Twee producten die in de PBS naast elkaar staan, kunnen in het PFD sterk van elkaar afhankelijk zijn (of juist volledig parallel lopen).</w:t>
      </w:r>
    </w:p>
    <w:p>
      <w:pPr>
        <w:pStyle w:val="ListParagraph"/>
        <w:numPr>
          <w:ilvl w:val="0"/>
          <w:numId w:val="1"/>
        </w:numPr>
        <w:spacing w:after="100" w:line="280"/>
      </w:pPr>
      <w:r>
        <w:rPr>
          <w:rFonts w:ascii="Calibri" w:cs="Calibri" w:eastAsia="Calibri" w:hAnsi="Calibri"/>
          <w:b/>
          <w:bCs/>
          <w:sz w:val="22"/>
          <w:szCs w:val="22"/>
        </w:rPr>
        <w:t xml:space="preserve">Laat de vergelijking na 4.2a-b (rond 1:10-1:20) bewust plenair gebeuren.</w:t>
      </w:r>
      <w:r>
        <w:rPr>
          <w:rFonts w:ascii="Calibri" w:cs="Calibri" w:eastAsia="Calibri" w:hAnsi="Calibri"/>
          <w:sz w:val="22"/>
          <w:szCs w:val="22"/>
        </w:rPr>
        <w:t xml:space="preserve"> Verschillende tweetallen zullen tot andere, allebei verdedigbare PBS'en komen — dat is precies het punt dat product-based planning geen exacte wetenschap is, maar een gestructureerd gesprek dat de scope zichtbaar maakt.</w:t>
      </w:r>
    </w:p>
    <w:p>
      <w:pPr>
        <w:pStyle w:val="Heading2"/>
        <w:spacing w:after="120" w:before="200"/>
      </w:pPr>
      <w:r>
        <w:rPr>
          <w:rFonts w:ascii="Georgia" w:cs="Georgia" w:eastAsia="Georgia" w:hAnsi="Georgia"/>
          <w:b/>
          <w:bCs/>
          <w:color w:val="2563A8"/>
          <w:sz w:val="28"/>
          <w:szCs w:val="28"/>
        </w:rPr>
        <w:t xml:space="preserve">Modelantwoorden — Opdracht 4.1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Project Plan — opgesteld door de projectmanager tijdens initiating a project, voor de stuurgroep.</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Team Plan — opgesteld door de teammanager, optioneel, alleen zinvol als het werkpakket dat rechtvaardigt.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Aanleiding voor een Exception Plan — de projectmanager stelt dit op zodra een tolerantie dreigt te worden overschreden, ter goedkeuring door de stuurgroep.</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Stage Plan — opgesteld door de projectmanager, het dagelijkse sturingsinstrument voor de lopende fase.</w:t>
      </w:r>
    </w:p>
    <w:p>
      <w:pPr>
        <w:pStyle w:val="Heading2"/>
        <w:spacing w:after="120" w:before="200"/>
      </w:pPr>
      <w:r>
        <w:rPr>
          <w:rFonts w:ascii="Georgia" w:cs="Georgia" w:eastAsia="Georgia" w:hAnsi="Georgia"/>
          <w:b/>
          <w:bCs/>
          <w:color w:val="2563A8"/>
          <w:sz w:val="28"/>
          <w:szCs w:val="28"/>
        </w:rPr>
        <w:t xml:space="preserve">Modelantwoorden — Opdracht 4.2</w:t>
      </w:r>
    </w:p>
    <w:p>
      <w:pPr>
        <w:spacing w:after="140" w:line="300"/>
      </w:pPr>
      <w:r>
        <w:rPr>
          <w:rFonts w:ascii="Calibri" w:cs="Calibri" w:eastAsia="Calibri" w:hAnsi="Calibri"/>
          <w:sz w:val="22"/>
          <w:szCs w:val="22"/>
        </w:rPr>
        <w:t xml:space="preserve">Er is geen uniek juist antwoord; beoordeel op structuur, niet op inhoud. Let op:</w:t>
      </w:r>
    </w:p>
    <w:p>
      <w:pPr>
        <w:pStyle w:val="ListParagraph"/>
        <w:numPr>
          <w:ilvl w:val="0"/>
          <w:numId w:val="1"/>
        </w:numPr>
        <w:spacing w:after="100" w:line="280"/>
      </w:pPr>
      <w:r>
        <w:rPr>
          <w:rFonts w:ascii="Calibri" w:cs="Calibri" w:eastAsia="Calibri" w:hAnsi="Calibri"/>
          <w:sz w:val="22"/>
          <w:szCs w:val="22"/>
        </w:rPr>
        <w:t xml:space="preserve">(a) een concreet, toetsbaar eindproduct met minstens twee acceptatiecriteria (bijvoorbeeld: "een gemachtigde kan zich binnen twee minuten aanmelden met tijdelijke toegang"; "de oorspronkelijke werkgever kan de machtiging op elk moment intrekken").</w:t>
      </w:r>
    </w:p>
    <w:p>
      <w:pPr>
        <w:pStyle w:val="ListParagraph"/>
        <w:numPr>
          <w:ilvl w:val="0"/>
          <w:numId w:val="1"/>
        </w:numPr>
        <w:spacing w:after="100" w:line="280"/>
      </w:pPr>
      <w:r>
        <w:rPr>
          <w:rFonts w:ascii="Calibri" w:cs="Calibri" w:eastAsia="Calibri" w:hAnsi="Calibri"/>
          <w:sz w:val="22"/>
          <w:szCs w:val="22"/>
        </w:rPr>
        <w:t xml:space="preserve">(b) minstens twee onderscheiden groepen (bijvoorbeeld: "machtiging aanvragen en goedkeuren" en "toegangsbeheer voor gemachtigden"), met concrete producten eronder (aanvraagformulier, goedkeuringsstap, tijdelijk toegangsprofiel, notificatie aan werkgever, intrekmechanisme, audit-log).</w:t>
      </w:r>
    </w:p>
    <w:p>
      <w:pPr>
        <w:pStyle w:val="ListParagraph"/>
        <w:numPr>
          <w:ilvl w:val="0"/>
          <w:numId w:val="1"/>
        </w:numPr>
        <w:spacing w:after="100" w:line="280"/>
      </w:pPr>
      <w:r>
        <w:rPr>
          <w:rFonts w:ascii="Calibri" w:cs="Calibri" w:eastAsia="Calibri" w:hAnsi="Calibri"/>
          <w:sz w:val="22"/>
          <w:szCs w:val="22"/>
        </w:rPr>
        <w:t xml:space="preserve">(c) doel/samenstelling/kwaliteitscriteria expliciet en toetsbaar, niet vaag ("werkt goed" is geen kwaliteitscriterium).</w:t>
      </w:r>
    </w:p>
    <w:p>
      <w:pPr>
        <w:pStyle w:val="ListParagraph"/>
        <w:numPr>
          <w:ilvl w:val="0"/>
          <w:numId w:val="1"/>
        </w:numPr>
        <w:spacing w:after="100" w:line="280"/>
      </w:pPr>
      <w:r>
        <w:rPr>
          <w:rFonts w:ascii="Calibri" w:cs="Calibri" w:eastAsia="Calibri" w:hAnsi="Calibri"/>
          <w:sz w:val="22"/>
          <w:szCs w:val="22"/>
        </w:rPr>
        <w:t xml:space="preserve">(d) een logische afhankelijkheid, bijvoorbeeld: het aanvraagformulier moet klaar zijn vóór de goedkeuringsstap kan worden gebouwd; het tijdelijke toegangsprofiel is afhankelijk van zowel goedkeuring als het bestaande rollenbeheer uit deel 4.2's PBS.</w:t>
      </w:r>
    </w:p>
    <w:p>
      <w:pPr>
        <w:pStyle w:val="Heading2"/>
        <w:spacing w:after="120" w:before="200"/>
      </w:pPr>
      <w:r>
        <w:rPr>
          <w:rFonts w:ascii="Georgia" w:cs="Georgia" w:eastAsia="Georgia" w:hAnsi="Georgia"/>
          <w:b/>
          <w:bCs/>
          <w:color w:val="2563A8"/>
          <w:sz w:val="28"/>
          <w:szCs w:val="28"/>
        </w:rPr>
        <w:t xml:space="preserve">Modelantwoord — Opdracht 4.3</w:t>
      </w:r>
    </w:p>
    <w:p>
      <w:pPr>
        <w:spacing w:after="140" w:line="300"/>
      </w:pPr>
      <w:r>
        <w:rPr>
          <w:rFonts w:ascii="Calibri" w:cs="Calibri" w:eastAsia="Calibri" w:hAnsi="Calibri"/>
          <w:sz w:val="22"/>
          <w:szCs w:val="22"/>
        </w:rPr>
        <w:t xml:space="preserve">De oorspronkelijke regel is puur activiteitgericht (fasenamen, geen producten). Een productgerichte herschrijving legt vast wélke producten aan het eind van elke periode moeten liggen, met kwaliteitscriteria, bijvoorbeeld: "Week 1-2: opgeleverd — functioneel ontwerp met goedgekeurde acceptatiecriteria per product. Week 3-6: opgeleverd — geteste bouwmodules conform productbeschrijvingen. Week 7: opgeleverd — testrapport met afgetekende acceptatiecriteria. Week 8: opgeleverd — geaccepteerd eindproduct, overgedragen aan beheer." Het punt is niet dat de tijdlijn verandert, maar dat elk moment nu een toetsbaar resultaat heeft in plaats van een activiteit.</w:t>
      </w:r>
    </w:p>
    <w:p>
      <w:pPr>
        <w:pStyle w:val="Heading2"/>
        <w:spacing w:after="120" w:before="200"/>
      </w:pPr>
      <w:r>
        <w:rPr>
          <w:rFonts w:ascii="Georgia" w:cs="Georgia" w:eastAsia="Georgia" w:hAnsi="Georgia"/>
          <w:b/>
          <w:bCs/>
          <w:color w:val="2563A8"/>
          <w:sz w:val="28"/>
          <w:szCs w:val="28"/>
        </w:rPr>
        <w:t xml:space="preserve">Modelantwoord — Opdracht 4.4</w:t>
      </w:r>
    </w:p>
    <w:p>
      <w:pPr>
        <w:spacing w:after="140" w:line="300"/>
      </w:pPr>
      <w:r>
        <w:rPr>
          <w:rFonts w:ascii="Calibri" w:cs="Calibri" w:eastAsia="Calibri" w:hAnsi="Calibri"/>
          <w:sz w:val="22"/>
          <w:szCs w:val="22"/>
        </w:rPr>
        <w:t xml:space="preserve">Voorbeeld: bij het tekenen van het PFD blijkt dat "tijdelijk toegangsprofiel" afhankelijk is van een product dat nog niet in de PBS stond — bijvoorbeeld een "notificatie-service" die de oorspronkelijke werkgever informeert zodra een machtiging wordt aangevraagd. Dat ontbrekende product wordt dan alsnog aan de PBS toegevoegd.</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De Senior User vertegenwoordigt het gebruikersbelang (deel 3); als de projectmanager zelf zou bepalen wat "goed genoeg" is, ontstaat het risico dat kwaliteitscriteria worden afgestemd op wat haalbaar is binnen tijd en budget, in plaats van op wat de gebruiker daadwerkelijk nodig heeft. Door de formele verantwoordelijkheid bij de Senior User te leggen, blijft de toetsing van "voldoet dit aan de behoefte" onafhankelijk van de partij die onder tijdsdruk staat om op te leveren.</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een PBS altijd verplicht?"</w:t>
      </w:r>
      <w:r>
        <w:rPr>
          <w:rFonts w:ascii="Calibri" w:cs="Calibri" w:eastAsia="Calibri" w:hAnsi="Calibri"/>
          <w:sz w:val="22"/>
          <w:szCs w:val="22"/>
        </w:rPr>
        <w:t xml:space="preserve"> Nee — bij een klein project met een handvol producten kan het PFD alleen al voldoende zijn; de PBS voegt vooral waarde toe zodra de scope complex genoeg is dat groepering nodig is om overzicht te houden. Dit is zelf een voorbeeld van tailoring (deel 2, §5): de vorm past zich aan, de onderliggende vraag ("welke producten, in welke volgorde, met welke kwaliteitscriteria") blijft.</w:t>
      </w:r>
    </w:p>
    <w:p>
      <w:pPr>
        <w:pStyle w:val="ListParagraph"/>
        <w:numPr>
          <w:ilvl w:val="0"/>
          <w:numId w:val="1"/>
        </w:numPr>
        <w:spacing w:after="100" w:line="280"/>
      </w:pPr>
      <w:r>
        <w:rPr>
          <w:rFonts w:ascii="Calibri" w:cs="Calibri" w:eastAsia="Calibri" w:hAnsi="Calibri"/>
          <w:i/>
          <w:iCs/>
          <w:sz w:val="22"/>
          <w:szCs w:val="22"/>
        </w:rPr>
        <w:t xml:space="preserve">"Waarom geeft PRINCE2 geen voorgeschreven schattingstechniek?"</w:t>
      </w:r>
      <w:r>
        <w:rPr>
          <w:rFonts w:ascii="Calibri" w:cs="Calibri" w:eastAsia="Calibri" w:hAnsi="Calibri"/>
          <w:sz w:val="22"/>
          <w:szCs w:val="22"/>
        </w:rPr>
        <w:t xml:space="preserve"> Bewust: schattingsmethoden verschillen sterk per vakgebied (bouwkunde versus softwareontwikkeling versus regelgevingstrajecten), en PRINCE2 wil generiek toepasbaar blijven.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4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2026-08-17T07:32:51.664Z</dcterms:created>
  <dcterms:modified xsi:type="dcterms:W3CDTF">2026-08-17T07:32:51.664Z</dcterms:modified>
</cp:coreProperties>
</file>

<file path=docProps/custom.xml><?xml version="1.0" encoding="utf-8"?>
<Properties xmlns="http://schemas.openxmlformats.org/officeDocument/2006/custom-properties" xmlns:vt="http://schemas.openxmlformats.org/officeDocument/2006/docPropsVTypes"/>
</file>