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5 — Practices: Quality en Issues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5 (van 10 in niveau 1)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uur, inclusief pauze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twee practices die minder rechtstreeks aan een bevinding uit deel 1 hangen dan de vorige delen, en die daardoor makkelijker als "droge stof" kunnen overkomen. Compenseer dat met veel concrete, herkenbare voorbeelden — vooral bij het issue/risico-onderscheid, dat notoir verwarrend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deel 4, introductie: twee practices die voortbouwen op Plans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0:10–0:35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Quality-practice: van verwachting naar criterium, drie onderdelen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5.1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0:45–0:55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5.2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0:55–1:05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Issues-practice: vier categorieën, issue vs. risico, vijf stappen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1:35–1:55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5.3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Klassikaal, casusgewijs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5.4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Terugkoppeling en samenhang met eerdere delen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Vooruitblik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Kwaliteitsborging (assurance) versus kwaliteitscontrole (control) is de meest voorkomende verwarring in dit deel.</w:t>
      </w:r>
      <w:r>
        <w:rPr>
          <w:rFonts w:ascii="Calibri" w:cs="Calibri" w:eastAsia="Calibri" w:hAnsi="Calibri"/>
          <w:sz w:val="22"/>
          <w:szCs w:val="22"/>
        </w:rPr>
        <w:t xml:space="preserve"> Gebruik een vaste vuistregel: control kijkt naar het próduct ("is dit ding goed"), assurance kijkt naar het próces ("wordt kwaliteit hier goed bewaakt"). Herhaal dit expliciet bij opdracht 5.2.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Issues is het onderscheid issue/risico het scharnierpunt van het hele deel.</w:t>
      </w:r>
      <w:r>
        <w:rPr>
          <w:rFonts w:ascii="Calibri" w:cs="Calibri" w:eastAsia="Calibri" w:hAnsi="Calibri"/>
          <w:sz w:val="22"/>
          <w:szCs w:val="22"/>
        </w:rPr>
        <w:t xml:space="preserve"> Neem hier ruim de tijd voor bij opdracht 5.3, en laat vooral doorvragen bij grensgevallen (bijvoorbeeld 5.3a: "de leverancier heeft laten weten" — dit ís al gebeurd, dus feit, dus issue, ook al voelt het als een risico omdat het over de toekomst gaat).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MoSCoW is een simpele techniek maar wordt vaak slordig toegepast.</w:t>
      </w:r>
      <w:r>
        <w:rPr>
          <w:rFonts w:ascii="Calibri" w:cs="Calibri" w:eastAsia="Calibri" w:hAnsi="Calibri"/>
          <w:sz w:val="22"/>
          <w:szCs w:val="22"/>
        </w:rPr>
        <w:t xml:space="preserve"> Laat bij opdracht 5.1 expliciet benoemen wélk criterium "must have" is en waarom — niet zomaar iedereen "must have" laten roepen omdat het belangrijk voelt. De toets is: blokkeert het ontbreken hiervan de levensvatbaarheid van het product?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Leg de brug naar Organizing (deel 3) expliciet bij Change Authority</w:t>
      </w:r>
      <w:r>
        <w:rPr>
          <w:rFonts w:ascii="Calibri" w:cs="Calibri" w:eastAsia="Calibri" w:hAnsi="Calibri"/>
          <w:sz w:val="22"/>
          <w:szCs w:val="22"/>
        </w:rPr>
        <w:t xml:space="preserve"> — dit is een goed moment om te herhalen dat deze rol optioneel en delegeerbaar is, en waaróm een stuurgroep die zou willen inrichten (minder belasting van stuurgroepvergaderingen voor kleinere wijzigingen).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5.1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Voorbeeld (andere, even valide antwoorden zijn mogelijk):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Must have: "Inloggegevens worden versleuteld opgeslagen conform de geldende beveiligingsnormen van Meridiaan."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Should have: "Een werkgever kan zonder hulp van de helpdesk een mutatie indienen binnen drie minuten."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5.2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Kwaliteitscontrole — toetst het product zelf.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Kwaliteitsborging — toetst het proces, onafhankelijk en organisatiebreed.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Geen van beide — dit is kwaliteitsplanning (het inplannen van een controleactiviteit, niet de activiteit zelf).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Kwaliteitscontrole — de Senior User keurt hier het product goed tegen de acceptatiecriteria.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5.3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Issue — off-specification (de leverancier heeft dit al gemeld, het is geen onzekerheid meer maar een feit).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Risico — dit is nog onzeker (het "zou kunnen" gebeuren).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Issue — request for change (een voorstel om de baseline te wijzigen).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Issue — problem/concern (er ligt nog geen concreet verzoek of specificatieprobleem, maar het vraagt wel om actie van de projectmanager).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Issue — off-specification (het product voldoet feitelijk niet aan de afgesproken specificatie).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5.4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Richtlijn, geen uniek antwoord: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(a) leverancier meldt vertraging op kritieke functionaliteit — waarschijnlijk stuurgroep, gezien de impact op tijd en mogelijk de business case.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(c) extra veld op mutatieformulier — mogelijk Change Authority, als de impact beperkt blijft tot een kleine aanpassing binnen het gedelegeerde mandaat; anders stuurgroep.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(e) koppeling twee seconden te traag — afhankelijk van de impact op de business case (gebruikerservaring, contractuele eisen): kan bij de projectmanager liggen als het binnen tolerantie te herstellen is, anders naar Change Authority of stuurgroep.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"Waarom heet deze practice nu 'Issues' en niet meer 'Change'?"</w:t>
      </w:r>
      <w:r>
        <w:rPr>
          <w:rFonts w:ascii="Calibri" w:cs="Calibri" w:eastAsia="Calibri" w:hAnsi="Calibri"/>
          <w:sz w:val="22"/>
          <w:szCs w:val="22"/>
        </w:rPr>
        <w:t xml:space="preserve"> De 7e editie benadrukt dat niet elk issue een wijziging is — een problem/concern kan bijvoorbeeld ook zonder aanpassing van de baseline worden afgehandeld. "Issues" dekt de volle breedte beter dan "Change" deed.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"Wat gebeurt er als een issue eigenlijk een risico blijkt te zijn?"</w:t>
      </w:r>
      <w:r>
        <w:rPr>
          <w:rFonts w:ascii="Calibri" w:cs="Calibri" w:eastAsia="Calibri" w:hAnsi="Calibri"/>
          <w:sz w:val="22"/>
          <w:szCs w:val="22"/>
        </w:rPr>
        <w:t xml:space="preserve"> Het wordt overgeheveld naar het risicoregister en verder behandeld volgens de Risk-practice (deel 6) — geen aparte formele procedure, wel een bewuste herclassificatie.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5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2026-08-17T07:47:12.883Z</dcterms:created>
  <dcterms:modified xsi:type="dcterms:W3CDTF">2026-08-17T07:47:12.883Z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