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6 — Practices: Risk en Progress</w:t>
      </w:r>
    </w:p>
    <w:p>
      <w:pPr>
        <w:spacing w:after="300"/>
      </w:pPr>
      <w:r>
        <w:rPr>
          <w:rFonts w:ascii="Calibri" w:cs="Calibri" w:eastAsia="Calibri" w:hAnsi="Calibri"/>
          <w:i/>
          <w:iCs/>
          <w:color w:val="2563A8"/>
          <w:sz w:val="22"/>
          <w:szCs w:val="22"/>
        </w:rPr>
        <w:t xml:space="preserve">Niveau 1 Fundament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6 (van 10 in niveau 1)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 laatste twee practices afronden en, cruciaal, het overzicht van deel 1 tot en met 6 laten landen — dit is het deel waarin alle zeven bevindingen voor het eerst compleet op tafel liggen, zowel op principe- als op practice-niveau. Reserveer daarom bewust tijd voor opdracht 6.4 als integratiemoment, niet als sluitstuk dat kan worden ingekort bij tijdgebrek.</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5, aankondiging: laatste twee practices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Risk-practice: doel, bedreigingen én kansen (reader §2, intro)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0:20–0:40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 stappen Risk: identify t/m communicate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0:40–0:50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Progress-practice: tijd- vs. gebeurtenisgedreven, rapportagehiërarchie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6.4 — de volledige balans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 + klassikale vergelijking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naar de processen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Proximity en probability/impact worden vaak door elkaar gehaald.</w:t>
      </w:r>
      <w:r>
        <w:rPr>
          <w:rFonts w:ascii="Calibri" w:cs="Calibri" w:eastAsia="Calibri" w:hAnsi="Calibri"/>
          <w:sz w:val="22"/>
          <w:szCs w:val="22"/>
        </w:rPr>
        <w:t xml:space="preserve"> Herhaal expliciet: proximity gaat over wannéér, probability/impact gaat over hóe erg en hoe waarschijnlijk. Een risico kan hoge impact en lage kans hebben, maar toch dichtbij zijn (bijvoorbeeld: een sleutelmedewerker die volgende week met vakantie gaat terwijl een kritieke opleverdatum daarna ligt).</w:t>
      </w:r>
    </w:p>
    <w:p>
      <w:pPr>
        <w:pStyle w:val="ListParagraph"/>
        <w:numPr>
          <w:ilvl w:val="0"/>
          <w:numId w:val="1"/>
        </w:numPr>
        <w:spacing w:after="100" w:line="280"/>
      </w:pPr>
      <w:r>
        <w:rPr>
          <w:rFonts w:ascii="Calibri" w:cs="Calibri" w:eastAsia="Calibri" w:hAnsi="Calibri"/>
          <w:b/>
          <w:bCs/>
          <w:sz w:val="22"/>
          <w:szCs w:val="22"/>
        </w:rPr>
        <w:t xml:space="preserve">Bij opdracht 6.2 is het doel niet alleen de juiste respons te kiezen, maar vooral het onderscheid risico-eigenaar/risicoactie-eigenaar te laten landen.</w:t>
      </w:r>
      <w:r>
        <w:rPr>
          <w:rFonts w:ascii="Calibri" w:cs="Calibri" w:eastAsia="Calibri" w:hAnsi="Calibri"/>
          <w:sz w:val="22"/>
          <w:szCs w:val="22"/>
        </w:rPr>
        <w:t xml:space="preserve"> Dit is precies het element dat in WGP 2.0 ontbrak. Laat expliciet benoemen: wie is verantwoordelijk vóór het risico zich voordoet (eigenaar) versus wie voert de respons uít (actie-eigenaar) — dit kunnen, maar hoeven niet, dezelfde persoon te zijn.</w:t>
      </w:r>
    </w:p>
    <w:p>
      <w:pPr>
        <w:pStyle w:val="ListParagraph"/>
        <w:numPr>
          <w:ilvl w:val="0"/>
          <w:numId w:val="1"/>
        </w:numPr>
        <w:spacing w:after="100" w:line="280"/>
      </w:pPr>
      <w:r>
        <w:rPr>
          <w:rFonts w:ascii="Calibri" w:cs="Calibri" w:eastAsia="Calibri" w:hAnsi="Calibri"/>
          <w:b/>
          <w:bCs/>
          <w:sz w:val="22"/>
          <w:szCs w:val="22"/>
        </w:rPr>
        <w:t xml:space="preserve">De tijdgedreven/gebeurtenisgedreven-vuistregel (reader §3) is een klassieke exameninstinker.</w:t>
      </w:r>
      <w:r>
        <w:rPr>
          <w:rFonts w:ascii="Calibri" w:cs="Calibri" w:eastAsia="Calibri" w:hAnsi="Calibri"/>
          <w:sz w:val="22"/>
          <w:szCs w:val="22"/>
        </w:rPr>
        <w:t xml:space="preserve"> Laat bij opdracht 6.3 nadrukkelijk het woordgebruik in de vraagstelling herkennen: "elke twee weken" wijst op tijdgedreven, "zodra" of "wanneer X gebeurt" wijst op gebeurtenisgedreven.</w:t>
      </w:r>
    </w:p>
    <w:p>
      <w:pPr>
        <w:pStyle w:val="ListParagraph"/>
        <w:numPr>
          <w:ilvl w:val="0"/>
          <w:numId w:val="1"/>
        </w:numPr>
        <w:spacing w:after="100" w:line="280"/>
      </w:pPr>
      <w:r>
        <w:rPr>
          <w:rFonts w:ascii="Calibri" w:cs="Calibri" w:eastAsia="Calibri" w:hAnsi="Calibri"/>
          <w:b/>
          <w:bCs/>
          <w:sz w:val="22"/>
          <w:szCs w:val="22"/>
        </w:rPr>
        <w:t xml:space="preserve">Opdracht 6.4 is het emotionele hoogtepunt van niveau 1 tot nu toe — behandel het ook zo.</w:t>
      </w:r>
      <w:r>
        <w:rPr>
          <w:rFonts w:ascii="Calibri" w:cs="Calibri" w:eastAsia="Calibri" w:hAnsi="Calibri"/>
          <w:sz w:val="22"/>
          <w:szCs w:val="22"/>
        </w:rPr>
        <w:t xml:space="preserve"> Dit is het moment waarop deelnemers voor het eerst het complete plaatje zien: zeven bevindingen uit een mislukt project, allemaal met naam en toenaam opgelost door specifieke, leerbare mechanismen. Geef er ruim de tijd voor en laat de vergelijking met het origineel niet haastig gebeuren.</w:t>
      </w:r>
    </w:p>
    <w:p>
      <w:pPr>
        <w:pStyle w:val="Heading2"/>
        <w:spacing w:after="120" w:before="200"/>
      </w:pPr>
      <w:r>
        <w:rPr>
          <w:rFonts w:ascii="Georgia" w:cs="Georgia" w:eastAsia="Georgia" w:hAnsi="Georgia"/>
          <w:b/>
          <w:bCs/>
          <w:color w:val="2563A8"/>
          <w:sz w:val="28"/>
          <w:szCs w:val="28"/>
        </w:rPr>
        <w:t xml:space="preserve">Modelantwoorden — Opdracht 6.1</w:t>
      </w:r>
    </w:p>
    <w:p>
      <w:pPr>
        <w:spacing w:after="140" w:line="300"/>
      </w:pPr>
      <w:r>
        <w:rPr>
          <w:rFonts w:ascii="Calibri" w:cs="Calibri" w:eastAsia="Calibri" w:hAnsi="Calibri"/>
          <w:sz w:val="22"/>
          <w:szCs w:val="22"/>
        </w:rPr>
        <w:t xml:space="preserve">Voorbeeld (andere, even valide varianten mogelijk):</w:t>
      </w:r>
    </w:p>
    <w:p>
      <w:pPr>
        <w:pStyle w:val="ListParagraph"/>
        <w:numPr>
          <w:ilvl w:val="0"/>
          <w:numId w:val="1"/>
        </w:numPr>
        <w:spacing w:after="100" w:line="280"/>
      </w:pPr>
      <w:r>
        <w:rPr>
          <w:rFonts w:ascii="Calibri" w:cs="Calibri" w:eastAsia="Calibri" w:hAnsi="Calibri"/>
          <w:sz w:val="22"/>
          <w:szCs w:val="22"/>
        </w:rPr>
        <w:t xml:space="preserve">Bedreiging: onvoldoende testcapaciteit in de laatste twee weken vóór livegang </w:t>
      </w:r>
      <w:r>
        <w:rPr>
          <w:rFonts w:ascii="Calibri" w:cs="Calibri" w:eastAsia="Calibri" w:hAnsi="Calibri"/>
          <w:i/>
          <w:iCs/>
          <w:sz w:val="22"/>
          <w:szCs w:val="22"/>
        </w:rPr>
        <w:t xml:space="preserve">(oorzaak)</w:t>
      </w:r>
      <w:r>
        <w:rPr>
          <w:rFonts w:ascii="Calibri" w:cs="Calibri" w:eastAsia="Calibri" w:hAnsi="Calibri"/>
          <w:sz w:val="22"/>
          <w:szCs w:val="22"/>
        </w:rPr>
        <w:t xml:space="preserve"> kan ertoe leiden dat kritieke testscenario's worden overgeslagen </w:t>
      </w:r>
      <w:r>
        <w:rPr>
          <w:rFonts w:ascii="Calibri" w:cs="Calibri" w:eastAsia="Calibri" w:hAnsi="Calibri"/>
          <w:i/>
          <w:iCs/>
          <w:sz w:val="22"/>
          <w:szCs w:val="22"/>
        </w:rPr>
        <w:t xml:space="preserve">(gebeurtenis)</w:t>
      </w:r>
      <w:r>
        <w:rPr>
          <w:rFonts w:ascii="Calibri" w:cs="Calibri" w:eastAsia="Calibri" w:hAnsi="Calibri"/>
          <w:sz w:val="22"/>
          <w:szCs w:val="22"/>
        </w:rPr>
        <w:t xml:space="preserve">, met een verhoogd risico op productiefouten na livegang tot gevolg </w:t>
      </w:r>
      <w:r>
        <w:rPr>
          <w:rFonts w:ascii="Calibri" w:cs="Calibri" w:eastAsia="Calibri" w:hAnsi="Calibri"/>
          <w:i/>
          <w:iCs/>
          <w:sz w:val="22"/>
          <w:szCs w:val="22"/>
        </w:rPr>
        <w:t xml:space="preserve">(effect)</w:t>
      </w:r>
      <w:r>
        <w:rPr>
          <w:rFonts w:ascii="Calibri" w:cs="Calibri" w:eastAsia="Calibri" w:hAnsi="Calibri"/>
          <w:sz w:val="22"/>
          <w:szCs w:val="22"/>
        </w:rPr>
        <w:t xml:space="preserve">.</w:t>
      </w:r>
    </w:p>
    <w:p>
      <w:pPr>
        <w:pStyle w:val="ListParagraph"/>
        <w:numPr>
          <w:ilvl w:val="0"/>
          <w:numId w:val="1"/>
        </w:numPr>
        <w:spacing w:after="100" w:line="280"/>
      </w:pPr>
      <w:r>
        <w:rPr>
          <w:rFonts w:ascii="Calibri" w:cs="Calibri" w:eastAsia="Calibri" w:hAnsi="Calibri"/>
          <w:sz w:val="22"/>
          <w:szCs w:val="22"/>
        </w:rPr>
        <w:t xml:space="preserve">Kans: vroege betrokkenheid van Klantcontact bij het ontwerp van het mutatieformulier </w:t>
      </w:r>
      <w:r>
        <w:rPr>
          <w:rFonts w:ascii="Calibri" w:cs="Calibri" w:eastAsia="Calibri" w:hAnsi="Calibri"/>
          <w:i/>
          <w:iCs/>
          <w:sz w:val="22"/>
          <w:szCs w:val="22"/>
        </w:rPr>
        <w:t xml:space="preserve">(oorzaak)</w:t>
      </w:r>
      <w:r>
        <w:rPr>
          <w:rFonts w:ascii="Calibri" w:cs="Calibri" w:eastAsia="Calibri" w:hAnsi="Calibri"/>
          <w:sz w:val="22"/>
          <w:szCs w:val="22"/>
        </w:rPr>
        <w:t xml:space="preserve"> kan ertoe leiden dat trainingsbehoefte na livegang lager uitvalt dan verwacht </w:t>
      </w:r>
      <w:r>
        <w:rPr>
          <w:rFonts w:ascii="Calibri" w:cs="Calibri" w:eastAsia="Calibri" w:hAnsi="Calibri"/>
          <w:i/>
          <w:iCs/>
          <w:sz w:val="22"/>
          <w:szCs w:val="22"/>
        </w:rPr>
        <w:t xml:space="preserve">(gebeurtenis)</w:t>
      </w:r>
      <w:r>
        <w:rPr>
          <w:rFonts w:ascii="Calibri" w:cs="Calibri" w:eastAsia="Calibri" w:hAnsi="Calibri"/>
          <w:sz w:val="22"/>
          <w:szCs w:val="22"/>
        </w:rPr>
        <w:t xml:space="preserve">, met lagere implementatiekosten tot gevolg </w:t>
      </w:r>
      <w:r>
        <w:rPr>
          <w:rFonts w:ascii="Calibri" w:cs="Calibri" w:eastAsia="Calibri" w:hAnsi="Calibri"/>
          <w:i/>
          <w:iCs/>
          <w:sz w:val="22"/>
          <w:szCs w:val="22"/>
        </w:rPr>
        <w:t xml:space="preserve">(effect)</w:t>
      </w:r>
      <w:r>
        <w:rPr>
          <w:rFonts w:ascii="Calibri" w:cs="Calibri" w:eastAsia="Calibri" w:hAnsi="Calibri"/>
          <w:sz w:val="22"/>
          <w:szCs w:val="22"/>
        </w:rPr>
        <w:t xml:space="preserve">.</w:t>
      </w:r>
    </w:p>
    <w:p>
      <w:pPr>
        <w:pStyle w:val="Heading2"/>
        <w:spacing w:after="120" w:before="200"/>
      </w:pPr>
      <w:r>
        <w:rPr>
          <w:rFonts w:ascii="Georgia" w:cs="Georgia" w:eastAsia="Georgia" w:hAnsi="Georgia"/>
          <w:b/>
          <w:bCs/>
          <w:color w:val="2563A8"/>
          <w:sz w:val="28"/>
          <w:szCs w:val="28"/>
        </w:rPr>
        <w:t xml:space="preserve">Modelantwoorden — Opdracht 6.2</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Verminderen (reduce) — bijvoorbeeld door strakkere mijlpalen en een fallback-leverancier; risico-eigenaar: Senior Supplier; risicoactie-eigenaar: projectmanager of inkoop.</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Benutten (exploit) of vergroten (enhance) — actief samenwerking zoeken met Compliance; risico-eigenaar: Executive (raakt de business case); risicoactie-eigenaar: projectmanager.</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Verminderen of overdragen — bijvoorbeeld kennisoverdracht organiseren als buffer; risico-eigenaar: teammanager; risicoactie-eigenaar: teammanager of HR.</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Vergroten (enhance) — bewust ontwerpen voor herbruikbaarheid; risico-eigenaar: Senior Supplier of IT-architectuur; risicoactie-eigenaar: technisch lead.</w:t>
      </w:r>
    </w:p>
    <w:p>
      <w:pPr>
        <w:pStyle w:val="Heading2"/>
        <w:spacing w:after="120" w:before="200"/>
      </w:pPr>
      <w:r>
        <w:rPr>
          <w:rFonts w:ascii="Georgia" w:cs="Georgia" w:eastAsia="Georgia" w:hAnsi="Georgia"/>
          <w:b/>
          <w:bCs/>
          <w:color w:val="2563A8"/>
          <w:sz w:val="28"/>
          <w:szCs w:val="28"/>
        </w:rPr>
        <w:t xml:space="preserve">Modelantwoorden — Opdracht 6.3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Highlight Report — tijdgedreven; projectmanager → stuurgroep.</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Exception Report — gebeurtenisgedreven; projectmanager → stuurgroep.</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Checkpoint Report — tijdgedreven (frequentie afgesproken bij acceptatie werkpakket); teammanager → projectmanager.</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End Stage Report — gebeurtenisgedreven (bij faseovergang); projectmanager → stuurgroep.</w:t>
      </w:r>
    </w:p>
    <w:p>
      <w:pPr>
        <w:pStyle w:val="Heading2"/>
        <w:spacing w:after="120" w:before="200"/>
      </w:pPr>
      <w:r>
        <w:rPr>
          <w:rFonts w:ascii="Georgia" w:cs="Georgia" w:eastAsia="Georgia" w:hAnsi="Georgia"/>
          <w:b/>
          <w:bCs/>
          <w:color w:val="2563A8"/>
          <w:sz w:val="28"/>
          <w:szCs w:val="28"/>
        </w:rPr>
        <w:t xml:space="preserve">Modelantwoord — Opdracht 6.4</w:t>
      </w:r>
    </w:p>
    <w:p>
      <w:pPr>
        <w:spacing w:after="140" w:line="300"/>
      </w:pPr>
      <w:r>
        <w:rPr>
          <w:rFonts w:ascii="Calibri" w:cs="Calibri" w:eastAsia="Calibri" w:hAnsi="Calibri"/>
          <w:sz w:val="22"/>
          <w:szCs w:val="22"/>
        </w:rPr>
        <w:t xml:space="preserve">Zie de tabel in reader §4. Laat vooral ruimte voor discussie bij bevinding 3 (die zowel bij Manage by stages/Progress als bij Plans raakt) en bevinding 4 (die zowel bij Plans als bij Quality raakt) — deze overlap is inherent aan hoe de practices in de praktijk met elkaar verweven zijn, en is zelf een goed voorbeeld van waarom PRINCE2 als samenhangend geheel wordt onderwezen, niet als zeven geïsoleerde onderwerpen.</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Een mogelijke lijn: bedreigingen voelen urgenter en tastbaarder (verlies vermijden weegt psychologisch zwaarder dan winst nastreven), en de meeste organisatieculturen belonen het voorkomen van problemen zichtbaarder dan het benutten van kansen. Om dit structureel te veranderen zou risicobeoordeling standaard een aparte stap moeten bevatten die expliciet vraagt "welke kansen zien we hier ook", los van de bedreigingenlijst — precies zoals PRINCE2 het vijfstappenproces voorschrijft.</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"Is risico-eigenaar altijd dezelfde persoon als risicoactie-eigenaar?"</w:t>
      </w:r>
      <w:r>
        <w:rPr>
          <w:rFonts w:ascii="Calibri" w:cs="Calibri" w:eastAsia="Calibri" w:hAnsi="Calibri"/>
          <w:sz w:val="22"/>
          <w:szCs w:val="22"/>
        </w:rPr>
        <w:t xml:space="preserve"> Nee, vaak niet — de eigenaar is verantwoordelijk voor het beheer (volgen, rapporteren), de actie-eigenaar voert de daadwerkelijke respons uit. Bij een klein risico kunnen ze samenvallen.</w:t>
      </w:r>
    </w:p>
    <w:p>
      <w:pPr>
        <w:pStyle w:val="ListParagraph"/>
        <w:numPr>
          <w:ilvl w:val="0"/>
          <w:numId w:val="1"/>
        </w:numPr>
        <w:spacing w:after="100" w:line="280"/>
      </w:pPr>
      <w:r>
        <w:rPr>
          <w:rFonts w:ascii="Calibri" w:cs="Calibri" w:eastAsia="Calibri" w:hAnsi="Calibri"/>
          <w:i/>
          <w:iCs/>
          <w:sz w:val="22"/>
          <w:szCs w:val="22"/>
        </w:rPr>
        <w:t xml:space="preserve">"Wat als een risico zich voordoet — wordt het dan automatisch een issue?"</w:t>
      </w:r>
      <w:r>
        <w:rPr>
          <w:rFonts w:ascii="Calibri" w:cs="Calibri" w:eastAsia="Calibri" w:hAnsi="Calibri"/>
          <w:sz w:val="22"/>
          <w:szCs w:val="22"/>
        </w:rPr>
        <w:t xml:space="preserve"> Ja, in de praktijk: zodra de onzekerheid wegvalt (het is gebeurd), verschuift het van het risicoregister naar het issue-register en wordt het volgens de Issues-practice (deel 5) afgehandeld.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6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2026-08-17T07:33:50.535Z</dcterms:created>
  <dcterms:modified xsi:type="dcterms:W3CDTF">2026-08-17T07:33:50.535Z</dcterms:modified>
</cp:coreProperties>
</file>

<file path=docProps/custom.xml><?xml version="1.0" encoding="utf-8"?>
<Properties xmlns="http://schemas.openxmlformats.org/officeDocument/2006/custom-properties" xmlns:vt="http://schemas.openxmlformats.org/officeDocument/2006/docPropsVTypes"/>
</file>