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6 — Practices: Risk en Progress</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De laatste twee practices</w:t>
      </w:r>
    </w:p>
    <w:p>
      <w:pPr>
        <w:spacing w:after="140" w:line="300"/>
      </w:pPr>
      <w:r>
        <w:rPr>
          <w:rFonts w:ascii="Calibri" w:cs="Calibri" w:eastAsia="Calibri" w:hAnsi="Calibri"/>
          <w:sz w:val="22"/>
          <w:szCs w:val="22"/>
        </w:rPr>
        <w:t xml:space="preserve">Dit deel sluit de zeven practices af met </w:t>
      </w:r>
      <w:r>
        <w:rPr>
          <w:rFonts w:ascii="Calibri" w:cs="Calibri" w:eastAsia="Calibri" w:hAnsi="Calibri"/>
          <w:b/>
          <w:bCs/>
          <w:sz w:val="22"/>
          <w:szCs w:val="22"/>
        </w:rPr>
        <w:t xml:space="preserve">Risk</w:t>
      </w:r>
      <w:r>
        <w:rPr>
          <w:rFonts w:ascii="Calibri" w:cs="Calibri" w:eastAsia="Calibri" w:hAnsi="Calibri"/>
          <w:sz w:val="22"/>
          <w:szCs w:val="22"/>
        </w:rPr>
        <w:t xml:space="preserve"> (onzekerheid beheren vóórdat die een issue wordt) en </w:t>
      </w:r>
      <w:r>
        <w:rPr>
          <w:rFonts w:ascii="Calibri" w:cs="Calibri" w:eastAsia="Calibri" w:hAnsi="Calibri"/>
          <w:b/>
          <w:bCs/>
          <w:sz w:val="22"/>
          <w:szCs w:val="22"/>
        </w:rPr>
        <w:t xml:space="preserve">Progress</w:t>
      </w:r>
      <w:r>
        <w:rPr>
          <w:rFonts w:ascii="Calibri" w:cs="Calibri" w:eastAsia="Calibri" w:hAnsi="Calibri"/>
          <w:sz w:val="22"/>
          <w:szCs w:val="22"/>
        </w:rPr>
        <w:t xml:space="preserve"> (voortgang bewaken en, waar nodig, escaleren). Samen operationaliseren zij principe 5, manage by exception — en sluiten daarmee, samen met wat in deel 2 al werd gelegd, bevinding 5 en 6 uit deel 1 definitief af op techniekniveau.</w:t>
      </w:r>
    </w:p>
    <w:p>
      <w:pPr>
        <w:pStyle w:val="Heading2"/>
        <w:spacing w:after="120" w:before="200"/>
      </w:pPr>
      <w:r>
        <w:rPr>
          <w:rFonts w:ascii="Georgia" w:cs="Georgia" w:eastAsia="Georgia" w:hAnsi="Georgia"/>
          <w:b/>
          <w:bCs/>
          <w:color w:val="2563A8"/>
          <w:sz w:val="28"/>
          <w:szCs w:val="28"/>
        </w:rPr>
        <w:t xml:space="preserve">2. De Risk-practice</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Onzekerheden die de projectdoelen kunnen raken identificeren, beoordelen en beheersen — zowel bedreigingen (threats) als kansen (opportunities). Een risico is in PRINCE2 7 gedefinieerd als een onzekere gebeurtenis of reeks gebeurtenissen die, als die zich voordoet, invloed heeft op het behalen van de doelstellingen. Dat is nadrukkelijk neutraal: risicomanagement gaat niet alleen over jezelf beschermen tegen wat mis kan gaan, maar ook over jezelf positioneren om te profiteren van wat goed kan gaan. Veel projectteams richten zich uitsluitend op bedreigingen — PRINCE2 vereist expliciet dat kansen even actief worden beheerd.</w:t>
      </w:r>
    </w:p>
    <w:p>
      <w:pPr>
        <w:spacing w:after="140" w:line="300"/>
      </w:pPr>
      <w:r>
        <w:rPr>
          <w:rFonts w:ascii="Calibri" w:cs="Calibri" w:eastAsia="Calibri" w:hAnsi="Calibri"/>
          <w:b/>
          <w:bCs/>
          <w:sz w:val="22"/>
          <w:szCs w:val="22"/>
        </w:rPr>
        <w:t xml:space="preserve">Vijf stappen: Identify — Assess — Plan — Implement — Communicate.</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Identify (identificeren)</w:t>
      </w:r>
      <w:r>
        <w:rPr>
          <w:rFonts w:ascii="Calibri" w:cs="Calibri" w:eastAsia="Calibri" w:hAnsi="Calibri"/>
          <w:sz w:val="22"/>
          <w:szCs w:val="22"/>
        </w:rPr>
        <w:t xml:space="preserve"> — de risicocontext bepalen (risicobereidheid van de organisatie), lessen en risicologs van eerdere projecten raadplegen, risico's benoemen in de vorm oorzaak → gebeurtenis → effect (bijvoorbeeld: onvoldoende bezetting </w:t>
      </w:r>
      <w:r>
        <w:rPr>
          <w:rFonts w:ascii="Calibri" w:cs="Calibri" w:eastAsia="Calibri" w:hAnsi="Calibri"/>
          <w:i/>
          <w:iCs/>
          <w:sz w:val="22"/>
          <w:szCs w:val="22"/>
        </w:rPr>
        <w:t xml:space="preserve">(oorzaak)</w:t>
      </w:r>
      <w:r>
        <w:rPr>
          <w:rFonts w:ascii="Calibri" w:cs="Calibri" w:eastAsia="Calibri" w:hAnsi="Calibri"/>
          <w:sz w:val="22"/>
          <w:szCs w:val="22"/>
        </w:rPr>
        <w:t xml:space="preserve"> kan tijdige gebruikerstraining </w:t>
      </w:r>
      <w:r>
        <w:rPr>
          <w:rFonts w:ascii="Calibri" w:cs="Calibri" w:eastAsia="Calibri" w:hAnsi="Calibri"/>
          <w:i/>
          <w:iCs/>
          <w:sz w:val="22"/>
          <w:szCs w:val="22"/>
        </w:rPr>
        <w:t xml:space="preserve">(gebeurtenis)</w:t>
      </w:r>
      <w:r>
        <w:rPr>
          <w:rFonts w:ascii="Calibri" w:cs="Calibri" w:eastAsia="Calibri" w:hAnsi="Calibri"/>
          <w:sz w:val="22"/>
          <w:szCs w:val="22"/>
        </w:rPr>
        <w:t xml:space="preserve"> in de weg staan, met vertraging van het project tot gevolg </w:t>
      </w:r>
      <w:r>
        <w:rPr>
          <w:rFonts w:ascii="Calibri" w:cs="Calibri" w:eastAsia="Calibri" w:hAnsi="Calibri"/>
          <w:i/>
          <w:iCs/>
          <w:sz w:val="22"/>
          <w:szCs w:val="22"/>
        </w:rPr>
        <w:t xml:space="preserve">(effect)</w:t>
      </w:r>
      <w:r>
        <w:rPr>
          <w:rFonts w:ascii="Calibri" w:cs="Calibri" w:eastAsia="Calibri" w:hAnsi="Calibri"/>
          <w:sz w:val="22"/>
          <w:szCs w:val="22"/>
        </w:rPr>
        <w:t xml:space="preserve">).</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Assess (beoordelen)</w:t>
      </w:r>
      <w:r>
        <w:rPr>
          <w:rFonts w:ascii="Calibri" w:cs="Calibri" w:eastAsia="Calibri" w:hAnsi="Calibri"/>
          <w:sz w:val="22"/>
          <w:szCs w:val="22"/>
        </w:rPr>
        <w:t xml:space="preserve"> — elk risico wordt beoordeeld op:</w:t>
      </w:r>
    </w:p>
    <w:p>
      <w:pPr>
        <w:pStyle w:val="ListParagraph"/>
        <w:numPr>
          <w:ilvl w:val="0"/>
          <w:numId w:val="1"/>
        </w:numPr>
        <w:spacing w:after="100" w:line="280"/>
      </w:pPr>
      <w:r>
        <w:rPr>
          <w:rFonts w:ascii="Calibri" w:cs="Calibri" w:eastAsia="Calibri" w:hAnsi="Calibri"/>
          <w:b/>
          <w:bCs/>
          <w:sz w:val="22"/>
          <w:szCs w:val="22"/>
        </w:rPr>
        <w:t xml:space="preserve">Probability (kans)</w:t>
      </w:r>
      <w:r>
        <w:rPr>
          <w:rFonts w:ascii="Calibri" w:cs="Calibri" w:eastAsia="Calibri" w:hAnsi="Calibri"/>
          <w:sz w:val="22"/>
          <w:szCs w:val="22"/>
        </w:rPr>
        <w:t xml:space="preserve"> en </w:t>
      </w:r>
      <w:r>
        <w:rPr>
          <w:rFonts w:ascii="Calibri" w:cs="Calibri" w:eastAsia="Calibri" w:hAnsi="Calibri"/>
          <w:b/>
          <w:bCs/>
          <w:sz w:val="22"/>
          <w:szCs w:val="22"/>
        </w:rPr>
        <w:t xml:space="preserve">impact</w:t>
      </w:r>
      <w:r>
        <w:rPr>
          <w:rFonts w:ascii="Calibri" w:cs="Calibri" w:eastAsia="Calibri" w:hAnsi="Calibri"/>
          <w:sz w:val="22"/>
          <w:szCs w:val="22"/>
        </w:rPr>
        <w:t xml:space="preserve"> — meestal op een schaal (zeer laag tot hoog); impact wordt afgezet tegen de zes prestatiedoelen: tijd, kosten, kwaliteit, scope, baten en duurzaamheid (deel 2, §4).</w:t>
      </w:r>
    </w:p>
    <w:p>
      <w:pPr>
        <w:pStyle w:val="ListParagraph"/>
        <w:numPr>
          <w:ilvl w:val="0"/>
          <w:numId w:val="1"/>
        </w:numPr>
        <w:spacing w:after="100" w:line="280"/>
      </w:pPr>
      <w:r>
        <w:rPr>
          <w:rFonts w:ascii="Calibri" w:cs="Calibri" w:eastAsia="Calibri" w:hAnsi="Calibri"/>
          <w:b/>
          <w:bCs/>
          <w:sz w:val="22"/>
          <w:szCs w:val="22"/>
        </w:rPr>
        <w:t xml:space="preserve">Proximity (nabijheid)</w:t>
      </w:r>
      <w:r>
        <w:rPr>
          <w:rFonts w:ascii="Calibri" w:cs="Calibri" w:eastAsia="Calibri" w:hAnsi="Calibri"/>
          <w:sz w:val="22"/>
          <w:szCs w:val="22"/>
        </w:rPr>
        <w:t xml:space="preserve"> — hoe dichtbij in de tijd het risico zich kan voordoen; dit is een apart kenmerk, niet hetzelfde als de ernst.</w:t>
      </w:r>
    </w:p>
    <w:p>
      <w:pPr>
        <w:pStyle w:val="ListParagraph"/>
        <w:numPr>
          <w:ilvl w:val="0"/>
          <w:numId w:val="1"/>
        </w:numPr>
        <w:spacing w:after="100" w:line="280"/>
      </w:pPr>
      <w:r>
        <w:rPr>
          <w:rFonts w:ascii="Calibri" w:cs="Calibri" w:eastAsia="Calibri" w:hAnsi="Calibri"/>
          <w:b/>
          <w:bCs/>
          <w:sz w:val="22"/>
          <w:szCs w:val="22"/>
        </w:rPr>
        <w:t xml:space="preserve">Velocity (snelheid)</w:t>
      </w:r>
      <w:r>
        <w:rPr>
          <w:rFonts w:ascii="Calibri" w:cs="Calibri" w:eastAsia="Calibri" w:hAnsi="Calibri"/>
          <w:sz w:val="22"/>
          <w:szCs w:val="22"/>
        </w:rPr>
        <w:t xml:space="preserve"> — hoe snel het risico impact zou hebben zodra het zich voordoet.</w:t>
      </w:r>
    </w:p>
    <w:p>
      <w:pPr>
        <w:pStyle w:val="ListParagraph"/>
        <w:numPr>
          <w:ilvl w:val="0"/>
          <w:numId w:val="1"/>
        </w:numPr>
        <w:spacing w:after="100" w:line="280"/>
      </w:pPr>
      <w:r>
        <w:rPr>
          <w:rFonts w:ascii="Calibri" w:cs="Calibri" w:eastAsia="Calibri" w:hAnsi="Calibri"/>
          <w:b/>
          <w:bCs/>
          <w:sz w:val="22"/>
          <w:szCs w:val="22"/>
        </w:rPr>
        <w:t xml:space="preserve">Exposure (blootstelling)</w:t>
      </w:r>
      <w:r>
        <w:rPr>
          <w:rFonts w:ascii="Calibri" w:cs="Calibri" w:eastAsia="Calibri" w:hAnsi="Calibri"/>
          <w:sz w:val="22"/>
          <w:szCs w:val="22"/>
        </w:rPr>
        <w:t xml:space="preserve"> — de mate waarin een doelstelling risico loopt; een neutraal begrip, want ook kansen kennen exposure.</w:t>
      </w:r>
    </w:p>
    <w:p>
      <w:pPr>
        <w:spacing w:after="140" w:line="300"/>
      </w:pPr>
      <w:r>
        <w:rPr>
          <w:rFonts w:ascii="Calibri" w:cs="Calibri" w:eastAsia="Calibri" w:hAnsi="Calibri"/>
          <w:sz w:val="22"/>
          <w:szCs w:val="22"/>
        </w:rPr>
        <w:t xml:space="preserve">Een </w:t>
      </w:r>
      <w:r>
        <w:rPr>
          <w:rFonts w:ascii="Calibri" w:cs="Calibri" w:eastAsia="Calibri" w:hAnsi="Calibri"/>
          <w:b/>
          <w:bCs/>
          <w:sz w:val="22"/>
          <w:szCs w:val="22"/>
        </w:rPr>
        <w:t xml:space="preserve">probability/impact-grid</w:t>
      </w:r>
      <w:r>
        <w:rPr>
          <w:rFonts w:ascii="Calibri" w:cs="Calibri" w:eastAsia="Calibri" w:hAnsi="Calibri"/>
          <w:sz w:val="22"/>
          <w:szCs w:val="22"/>
        </w:rPr>
        <w:t xml:space="preserve"> visualiseert de gecombineerde kans en impact; risico's met hoge kans én hoge impact vragen onmiddellijke aandacht. PRINCE2 onderscheidt </w:t>
      </w:r>
      <w:r>
        <w:rPr>
          <w:rFonts w:ascii="Calibri" w:cs="Calibri" w:eastAsia="Calibri" w:hAnsi="Calibri"/>
          <w:b/>
          <w:bCs/>
          <w:sz w:val="22"/>
          <w:szCs w:val="22"/>
        </w:rPr>
        <w:t xml:space="preserve">inherent risico</w:t>
      </w:r>
      <w:r>
        <w:rPr>
          <w:rFonts w:ascii="Calibri" w:cs="Calibri" w:eastAsia="Calibri" w:hAnsi="Calibri"/>
          <w:sz w:val="22"/>
          <w:szCs w:val="22"/>
        </w:rPr>
        <w:t xml:space="preserve"> (vóór een respons) van </w:t>
      </w:r>
      <w:r>
        <w:rPr>
          <w:rFonts w:ascii="Calibri" w:cs="Calibri" w:eastAsia="Calibri" w:hAnsi="Calibri"/>
          <w:b/>
          <w:bCs/>
          <w:sz w:val="22"/>
          <w:szCs w:val="22"/>
        </w:rPr>
        <w:t xml:space="preserve">restrisico</w:t>
      </w:r>
      <w:r>
        <w:rPr>
          <w:rFonts w:ascii="Calibri" w:cs="Calibri" w:eastAsia="Calibri" w:hAnsi="Calibri"/>
          <w:sz w:val="22"/>
          <w:szCs w:val="22"/>
        </w:rPr>
        <w:t xml:space="preserve"> (ná een respons) — dat verschil laat zien of een gekozen respons het risico daadwerkelijk voldoende terugbrengt.</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Plan (reageren)</w:t>
      </w:r>
      <w:r>
        <w:rPr>
          <w:rFonts w:ascii="Calibri" w:cs="Calibri" w:eastAsia="Calibri" w:hAnsi="Calibri"/>
          <w:sz w:val="22"/>
          <w:szCs w:val="22"/>
        </w:rPr>
        <w:t xml:space="preserve"> — een respons kiezen, afhankelijk van of het een bedreiging of een kans is:</w:t>
      </w:r>
    </w:p>
    <w:p>
      <w:pPr>
        <w:pStyle w:val="ListParagraph"/>
        <w:numPr>
          <w:ilvl w:val="0"/>
          <w:numId w:val="1"/>
        </w:numPr>
        <w:spacing w:after="100" w:line="280"/>
      </w:pPr>
      <w:r>
        <w:rPr>
          <w:rFonts w:ascii="Calibri" w:cs="Calibri" w:eastAsia="Calibri" w:hAnsi="Calibri"/>
          <w:sz w:val="22"/>
          <w:szCs w:val="22"/>
        </w:rPr>
        <w:t xml:space="preserve">Bedreigingen: </w:t>
      </w:r>
      <w:r>
        <w:rPr>
          <w:rFonts w:ascii="Calibri" w:cs="Calibri" w:eastAsia="Calibri" w:hAnsi="Calibri"/>
          <w:b/>
          <w:bCs/>
          <w:sz w:val="22"/>
          <w:szCs w:val="22"/>
        </w:rPr>
        <w:t xml:space="preserve">vermijden</w:t>
      </w:r>
      <w:r>
        <w:rPr>
          <w:rFonts w:ascii="Calibri" w:cs="Calibri" w:eastAsia="Calibri" w:hAnsi="Calibri"/>
          <w:sz w:val="22"/>
          <w:szCs w:val="22"/>
        </w:rPr>
        <w:t xml:space="preserve"> (avoid), </w:t>
      </w:r>
      <w:r>
        <w:rPr>
          <w:rFonts w:ascii="Calibri" w:cs="Calibri" w:eastAsia="Calibri" w:hAnsi="Calibri"/>
          <w:b/>
          <w:bCs/>
          <w:sz w:val="22"/>
          <w:szCs w:val="22"/>
        </w:rPr>
        <w:t xml:space="preserve">verminderen</w:t>
      </w:r>
      <w:r>
        <w:rPr>
          <w:rFonts w:ascii="Calibri" w:cs="Calibri" w:eastAsia="Calibri" w:hAnsi="Calibri"/>
          <w:sz w:val="22"/>
          <w:szCs w:val="22"/>
        </w:rPr>
        <w:t xml:space="preserve"> (reduce), </w:t>
      </w:r>
      <w:r>
        <w:rPr>
          <w:rFonts w:ascii="Calibri" w:cs="Calibri" w:eastAsia="Calibri" w:hAnsi="Calibri"/>
          <w:b/>
          <w:bCs/>
          <w:sz w:val="22"/>
          <w:szCs w:val="22"/>
        </w:rPr>
        <w:t xml:space="preserve">overdragen</w:t>
      </w:r>
      <w:r>
        <w:rPr>
          <w:rFonts w:ascii="Calibri" w:cs="Calibri" w:eastAsia="Calibri" w:hAnsi="Calibri"/>
          <w:sz w:val="22"/>
          <w:szCs w:val="22"/>
        </w:rPr>
        <w:t xml:space="preserve"> (transfer, bijvoorbeeld via verzekering), </w:t>
      </w:r>
      <w:r>
        <w:rPr>
          <w:rFonts w:ascii="Calibri" w:cs="Calibri" w:eastAsia="Calibri" w:hAnsi="Calibri"/>
          <w:b/>
          <w:bCs/>
          <w:sz w:val="22"/>
          <w:szCs w:val="22"/>
        </w:rPr>
        <w:t xml:space="preserve">delen</w:t>
      </w:r>
      <w:r>
        <w:rPr>
          <w:rFonts w:ascii="Calibri" w:cs="Calibri" w:eastAsia="Calibri" w:hAnsi="Calibri"/>
          <w:sz w:val="22"/>
          <w:szCs w:val="22"/>
        </w:rPr>
        <w:t xml:space="preserve"> (share, bijvoorbeeld via een pijn/winst-verdeling in een contract), of </w:t>
      </w:r>
      <w:r>
        <w:rPr>
          <w:rFonts w:ascii="Calibri" w:cs="Calibri" w:eastAsia="Calibri" w:hAnsi="Calibri"/>
          <w:b/>
          <w:bCs/>
          <w:sz w:val="22"/>
          <w:szCs w:val="22"/>
        </w:rPr>
        <w:t xml:space="preserve">accepteren</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sz w:val="22"/>
          <w:szCs w:val="22"/>
        </w:rPr>
        <w:t xml:space="preserve">Kansen: </w:t>
      </w:r>
      <w:r>
        <w:rPr>
          <w:rFonts w:ascii="Calibri" w:cs="Calibri" w:eastAsia="Calibri" w:hAnsi="Calibri"/>
          <w:b/>
          <w:bCs/>
          <w:sz w:val="22"/>
          <w:szCs w:val="22"/>
        </w:rPr>
        <w:t xml:space="preserve">benutten</w:t>
      </w:r>
      <w:r>
        <w:rPr>
          <w:rFonts w:ascii="Calibri" w:cs="Calibri" w:eastAsia="Calibri" w:hAnsi="Calibri"/>
          <w:sz w:val="22"/>
          <w:szCs w:val="22"/>
        </w:rPr>
        <w:t xml:space="preserve"> (exploit — zorgen dat de kans zich zeker voordoet), </w:t>
      </w:r>
      <w:r>
        <w:rPr>
          <w:rFonts w:ascii="Calibri" w:cs="Calibri" w:eastAsia="Calibri" w:hAnsi="Calibri"/>
          <w:b/>
          <w:bCs/>
          <w:sz w:val="22"/>
          <w:szCs w:val="22"/>
        </w:rPr>
        <w:t xml:space="preserve">vergroten</w:t>
      </w:r>
      <w:r>
        <w:rPr>
          <w:rFonts w:ascii="Calibri" w:cs="Calibri" w:eastAsia="Calibri" w:hAnsi="Calibri"/>
          <w:sz w:val="22"/>
          <w:szCs w:val="22"/>
        </w:rPr>
        <w:t xml:space="preserve"> (enhance — de waarschijnlijkheid of impact verhogen), </w:t>
      </w:r>
      <w:r>
        <w:rPr>
          <w:rFonts w:ascii="Calibri" w:cs="Calibri" w:eastAsia="Calibri" w:hAnsi="Calibri"/>
          <w:b/>
          <w:bCs/>
          <w:sz w:val="22"/>
          <w:szCs w:val="22"/>
        </w:rPr>
        <w:t xml:space="preserve">delen</w:t>
      </w:r>
      <w:r>
        <w:rPr>
          <w:rFonts w:ascii="Calibri" w:cs="Calibri" w:eastAsia="Calibri" w:hAnsi="Calibri"/>
          <w:sz w:val="22"/>
          <w:szCs w:val="22"/>
        </w:rPr>
        <w:t xml:space="preserve"> (share), of </w:t>
      </w:r>
      <w:r>
        <w:rPr>
          <w:rFonts w:ascii="Calibri" w:cs="Calibri" w:eastAsia="Calibri" w:hAnsi="Calibri"/>
          <w:b/>
          <w:bCs/>
          <w:sz w:val="22"/>
          <w:szCs w:val="22"/>
        </w:rPr>
        <w:t xml:space="preserve">afwijzen</w:t>
      </w:r>
      <w:r>
        <w:rPr>
          <w:rFonts w:ascii="Calibri" w:cs="Calibri" w:eastAsia="Calibri" w:hAnsi="Calibri"/>
          <w:sz w:val="22"/>
          <w:szCs w:val="22"/>
        </w:rPr>
        <w:t xml:space="preserve"> (reject — bewust besluiten de kans niet na te jagen).</w:t>
      </w:r>
    </w:p>
    <w:p>
      <w:pPr>
        <w:spacing w:after="140" w:line="300"/>
      </w:pPr>
      <w:r>
        <w:rPr>
          <w:rFonts w:ascii="Calibri" w:cs="Calibri" w:eastAsia="Calibri" w:hAnsi="Calibri"/>
          <w:sz w:val="22"/>
          <w:szCs w:val="22"/>
        </w:rPr>
        <w:t xml:space="preserve">Bij elke respons worden een </w:t>
      </w:r>
      <w:r>
        <w:rPr>
          <w:rFonts w:ascii="Calibri" w:cs="Calibri" w:eastAsia="Calibri" w:hAnsi="Calibri"/>
          <w:b/>
          <w:bCs/>
          <w:sz w:val="22"/>
          <w:szCs w:val="22"/>
        </w:rPr>
        <w:t xml:space="preserve">risico-eigenaar</w:t>
      </w:r>
      <w:r>
        <w:rPr>
          <w:rFonts w:ascii="Calibri" w:cs="Calibri" w:eastAsia="Calibri" w:hAnsi="Calibri"/>
          <w:sz w:val="22"/>
          <w:szCs w:val="22"/>
        </w:rPr>
        <w:t xml:space="preserve"> (verantwoordelijk voor het beheer van het risico) en een </w:t>
      </w:r>
      <w:r>
        <w:rPr>
          <w:rFonts w:ascii="Calibri" w:cs="Calibri" w:eastAsia="Calibri" w:hAnsi="Calibri"/>
          <w:b/>
          <w:bCs/>
          <w:sz w:val="22"/>
          <w:szCs w:val="22"/>
        </w:rPr>
        <w:t xml:space="preserve">risicoactie-eigenaar</w:t>
      </w:r>
      <w:r>
        <w:rPr>
          <w:rFonts w:ascii="Calibri" w:cs="Calibri" w:eastAsia="Calibri" w:hAnsi="Calibri"/>
          <w:sz w:val="22"/>
          <w:szCs w:val="22"/>
        </w:rPr>
        <w:t xml:space="preserve"> (verantwoordelijk voor het uitvoeren van de respons) aangewezen — dit is precies het element dat bij WGP 2.0 ontbrak (bevinding 6).</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Implement (uitvoeren)</w:t>
      </w:r>
      <w:r>
        <w:rPr>
          <w:rFonts w:ascii="Calibri" w:cs="Calibri" w:eastAsia="Calibri" w:hAnsi="Calibri"/>
          <w:sz w:val="22"/>
          <w:szCs w:val="22"/>
        </w:rPr>
        <w:t xml:space="preserve"> — de geplande respons wordt daadwerkelijk uitgevoerd door de risicoactie-eigenaar, en de uitvoering wordt gevolgd: een respons die alleen op papier bestaat, beschermt niets.</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Communicate (communiceren)</w:t>
      </w:r>
      <w:r>
        <w:rPr>
          <w:rFonts w:ascii="Calibri" w:cs="Calibri" w:eastAsia="Calibri" w:hAnsi="Calibri"/>
          <w:sz w:val="22"/>
          <w:szCs w:val="22"/>
        </w:rPr>
        <w:t xml:space="preserve"> — risico-informatie wordt continu gedeeld met stakeholders, via de reguliere rapportages (zie Progress, §3).</w:t>
      </w:r>
    </w:p>
    <w:p>
      <w:pPr>
        <w:spacing w:after="140" w:line="300"/>
      </w:pPr>
      <w:r>
        <w:rPr>
          <w:rFonts w:ascii="Calibri" w:cs="Calibri" w:eastAsia="Calibri" w:hAnsi="Calibri"/>
          <w:b/>
          <w:bCs/>
          <w:sz w:val="22"/>
          <w:szCs w:val="22"/>
        </w:rPr>
        <w:t xml:space="preserve">Het risicoregister</w:t>
      </w:r>
      <w:r>
        <w:rPr>
          <w:rFonts w:ascii="Calibri" w:cs="Calibri" w:eastAsia="Calibri" w:hAnsi="Calibri"/>
          <w:sz w:val="22"/>
          <w:szCs w:val="22"/>
        </w:rPr>
        <w:t xml:space="preserve"> legt voor elk risico categorie, beschrijving, kans, impact, verwachte waarde, proximiteit, gekozen respons, status en eigenaar vast. </w:t>
      </w:r>
      <w:r>
        <w:rPr>
          <w:rFonts w:ascii="Calibri" w:cs="Calibri" w:eastAsia="Calibri" w:hAnsi="Calibri"/>
          <w:b/>
          <w:bCs/>
          <w:sz w:val="22"/>
          <w:szCs w:val="22"/>
        </w:rPr>
        <w:t xml:space="preserve">Risicobereidheid (risk appetite)</w:t>
      </w:r>
      <w:r>
        <w:rPr>
          <w:rFonts w:ascii="Calibri" w:cs="Calibri" w:eastAsia="Calibri" w:hAnsi="Calibri"/>
          <w:sz w:val="22"/>
          <w:szCs w:val="22"/>
        </w:rPr>
        <w:t xml:space="preserve"> en </w:t>
      </w:r>
      <w:r>
        <w:rPr>
          <w:rFonts w:ascii="Calibri" w:cs="Calibri" w:eastAsia="Calibri" w:hAnsi="Calibri"/>
          <w:b/>
          <w:bCs/>
          <w:sz w:val="22"/>
          <w:szCs w:val="22"/>
        </w:rPr>
        <w:t xml:space="preserve">risicotolerantie</w:t>
      </w:r>
      <w:r>
        <w:rPr>
          <w:rFonts w:ascii="Calibri" w:cs="Calibri" w:eastAsia="Calibri" w:hAnsi="Calibri"/>
          <w:sz w:val="22"/>
          <w:szCs w:val="22"/>
        </w:rPr>
        <w:t xml:space="preserve"> worden door de stuurgroep vastgesteld en vastgelegd in de risicomanagementaanpak — risico's die de tolerantiegrens dreigen te overschrijden, vereisen escalatie, exact zoals bij elke andere tolerantie (principe 5, deel 2).</w:t>
      </w:r>
    </w:p>
    <w:p>
      <w:pPr>
        <w:spacing w:after="140" w:line="300"/>
      </w:pPr>
      <w:r>
        <w:rPr>
          <w:rFonts w:ascii="Calibri" w:cs="Calibri" w:eastAsia="Calibri" w:hAnsi="Calibri"/>
          <w:b/>
          <w:bCs/>
          <w:sz w:val="22"/>
          <w:szCs w:val="22"/>
        </w:rPr>
        <w:t xml:space="preserve">Terug naar bevinding 6.</w:t>
      </w:r>
      <w:r>
        <w:rPr>
          <w:rFonts w:ascii="Calibri" w:cs="Calibri" w:eastAsia="Calibri" w:hAnsi="Calibri"/>
          <w:sz w:val="22"/>
          <w:szCs w:val="22"/>
        </w:rPr>
        <w:t xml:space="preserve"> WGP 2.0 had een risicoregister met de juiste risico's, maar zonder eigenaarschap. De Risk-practice maakt dat euvel onmogelijk te negeren: elke stap in het vijfstappenproces vereist een naam bij elk risico — niet alleen wíe het risico signaleert, maar wíe het beheert en wíe de respons uitvoert.</w:t>
      </w:r>
    </w:p>
    <w:p>
      <w:pPr>
        <w:pStyle w:val="Heading2"/>
        <w:spacing w:after="120" w:before="200"/>
      </w:pPr>
      <w:r>
        <w:rPr>
          <w:rFonts w:ascii="Georgia" w:cs="Georgia" w:eastAsia="Georgia" w:hAnsi="Georgia"/>
          <w:b/>
          <w:bCs/>
          <w:color w:val="2563A8"/>
          <w:sz w:val="28"/>
          <w:szCs w:val="28"/>
        </w:rPr>
        <w:t xml:space="preserve">3. De Progress-practice</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Vaststellen of het project (nog) levensvatbaar is, de daadwerkelijke voortgang vergelijken met het plan, en corrigerend optreden waar nodig — het mechanisme waarmee manage by exception (principe 5) in de praktijk wordt gebracht.</w:t>
      </w:r>
    </w:p>
    <w:p>
      <w:pPr>
        <w:spacing w:after="140" w:line="300"/>
      </w:pPr>
      <w:r>
        <w:rPr>
          <w:rFonts w:ascii="Calibri" w:cs="Calibri" w:eastAsia="Calibri" w:hAnsi="Calibri"/>
          <w:b/>
          <w:bCs/>
          <w:sz w:val="22"/>
          <w:szCs w:val="22"/>
        </w:rPr>
        <w:t xml:space="preserve">Twee soorten besturing: tijdgedreven en gebeurtenisgedreven.</w:t>
      </w:r>
    </w:p>
    <w:p>
      <w:pPr>
        <w:pStyle w:val="ListParagraph"/>
        <w:numPr>
          <w:ilvl w:val="0"/>
          <w:numId w:val="1"/>
        </w:numPr>
        <w:spacing w:after="100" w:line="280"/>
      </w:pPr>
      <w:r>
        <w:rPr>
          <w:rFonts w:ascii="Calibri" w:cs="Calibri" w:eastAsia="Calibri" w:hAnsi="Calibri"/>
          <w:b/>
          <w:bCs/>
          <w:sz w:val="22"/>
          <w:szCs w:val="22"/>
        </w:rPr>
        <w:t xml:space="preserve">Tijdgedreven controls</w:t>
      </w:r>
      <w:r>
        <w:rPr>
          <w:rFonts w:ascii="Calibri" w:cs="Calibri" w:eastAsia="Calibri" w:hAnsi="Calibri"/>
          <w:sz w:val="22"/>
          <w:szCs w:val="22"/>
        </w:rPr>
        <w:t xml:space="preserve"> vinden plaats op vaste, vooraf afgesproken intervallen, ongeacht of er iets bijzonders is gebeurd. Het belangrijkste voorbeeld: het </w:t>
      </w:r>
      <w:r>
        <w:rPr>
          <w:rFonts w:ascii="Calibri" w:cs="Calibri" w:eastAsia="Calibri" w:hAnsi="Calibri"/>
          <w:b/>
          <w:bCs/>
          <w:sz w:val="22"/>
          <w:szCs w:val="22"/>
        </w:rPr>
        <w:t xml:space="preserve">Highlight Report</w:t>
      </w:r>
      <w:r>
        <w:rPr>
          <w:rFonts w:ascii="Calibri" w:cs="Calibri" w:eastAsia="Calibri" w:hAnsi="Calibri"/>
          <w:sz w:val="22"/>
          <w:szCs w:val="22"/>
        </w:rPr>
        <w:t xml:space="preserve">, dat de projectmanager periodiek (bijvoorbeeld elke twee weken) aan de stuurgroep stuurt, met de status van de lopende fase tegen de toleranties. De frequentie wordt vastgelegd in de communicatiemanagementaanpak tijdens Initiating a Project.</w:t>
      </w:r>
    </w:p>
    <w:p>
      <w:pPr>
        <w:pStyle w:val="ListParagraph"/>
        <w:numPr>
          <w:ilvl w:val="0"/>
          <w:numId w:val="1"/>
        </w:numPr>
        <w:spacing w:after="100" w:line="280"/>
      </w:pPr>
      <w:r>
        <w:rPr>
          <w:rFonts w:ascii="Calibri" w:cs="Calibri" w:eastAsia="Calibri" w:hAnsi="Calibri"/>
          <w:b/>
          <w:bCs/>
          <w:sz w:val="22"/>
          <w:szCs w:val="22"/>
        </w:rPr>
        <w:t xml:space="preserve">Gebeurtenisgedreven controls</w:t>
      </w:r>
      <w:r>
        <w:rPr>
          <w:rFonts w:ascii="Calibri" w:cs="Calibri" w:eastAsia="Calibri" w:hAnsi="Calibri"/>
          <w:sz w:val="22"/>
          <w:szCs w:val="22"/>
        </w:rPr>
        <w:t xml:space="preserve"> worden geactiveerd door een specifieke gebeurtenis, niet door een vaste kalender. Voorbeelden: het </w:t>
      </w:r>
      <w:r>
        <w:rPr>
          <w:rFonts w:ascii="Calibri" w:cs="Calibri" w:eastAsia="Calibri" w:hAnsi="Calibri"/>
          <w:b/>
          <w:bCs/>
          <w:sz w:val="22"/>
          <w:szCs w:val="22"/>
        </w:rPr>
        <w:t xml:space="preserve">End Stage Report</w:t>
      </w:r>
      <w:r>
        <w:rPr>
          <w:rFonts w:ascii="Calibri" w:cs="Calibri" w:eastAsia="Calibri" w:hAnsi="Calibri"/>
          <w:sz w:val="22"/>
          <w:szCs w:val="22"/>
        </w:rPr>
        <w:t xml:space="preserve"> (bij elke faseovergang), en het </w:t>
      </w:r>
      <w:r>
        <w:rPr>
          <w:rFonts w:ascii="Calibri" w:cs="Calibri" w:eastAsia="Calibri" w:hAnsi="Calibri"/>
          <w:b/>
          <w:bCs/>
          <w:sz w:val="22"/>
          <w:szCs w:val="22"/>
        </w:rPr>
        <w:t xml:space="preserve">Exception Report</w:t>
      </w:r>
      <w:r>
        <w:rPr>
          <w:rFonts w:ascii="Calibri" w:cs="Calibri" w:eastAsia="Calibri" w:hAnsi="Calibri"/>
          <w:sz w:val="22"/>
          <w:szCs w:val="22"/>
        </w:rPr>
        <w:t xml:space="preserve"> (zodra een tolerantie dreigt te worden overschreden).</w:t>
      </w:r>
    </w:p>
    <w:p>
      <w:pPr>
        <w:spacing w:after="140" w:line="300"/>
      </w:pPr>
      <w:r>
        <w:rPr>
          <w:rFonts w:ascii="Calibri" w:cs="Calibri" w:eastAsia="Calibri" w:hAnsi="Calibri"/>
          <w:b/>
          <w:bCs/>
          <w:sz w:val="22"/>
          <w:szCs w:val="22"/>
        </w:rPr>
        <w:t xml:space="preserve">De rapportagehiërarchie.</w:t>
      </w:r>
    </w:p>
    <w:p>
      <w:pPr>
        <w:pStyle w:val="ListParagraph"/>
        <w:numPr>
          <w:ilvl w:val="0"/>
          <w:numId w:val="1"/>
        </w:numPr>
        <w:spacing w:after="100" w:line="280"/>
      </w:pPr>
      <w:r>
        <w:rPr>
          <w:rFonts w:ascii="Calibri" w:cs="Calibri" w:eastAsia="Calibri" w:hAnsi="Calibri"/>
          <w:b/>
          <w:bCs/>
          <w:sz w:val="22"/>
          <w:szCs w:val="22"/>
        </w:rPr>
        <w:t xml:space="preserve">Teammanager → projectmanager</w:t>
      </w:r>
      <w:r>
        <w:rPr>
          <w:rFonts w:ascii="Calibri" w:cs="Calibri" w:eastAsia="Calibri" w:hAnsi="Calibri"/>
          <w:sz w:val="22"/>
          <w:szCs w:val="22"/>
        </w:rPr>
        <w:t xml:space="preserve">: het </w:t>
      </w:r>
      <w:r>
        <w:rPr>
          <w:rFonts w:ascii="Calibri" w:cs="Calibri" w:eastAsia="Calibri" w:hAnsi="Calibri"/>
          <w:b/>
          <w:bCs/>
          <w:sz w:val="22"/>
          <w:szCs w:val="22"/>
        </w:rPr>
        <w:t xml:space="preserve">Checkpoint Report</w:t>
      </w:r>
      <w:r>
        <w:rPr>
          <w:rFonts w:ascii="Calibri" w:cs="Calibri" w:eastAsia="Calibri" w:hAnsi="Calibri"/>
          <w:sz w:val="22"/>
          <w:szCs w:val="22"/>
        </w:rPr>
        <w:t xml:space="preserve">, met een frequentie die wordt afgesproken bij het accepteren van het werkpakket.</w:t>
      </w:r>
    </w:p>
    <w:p>
      <w:pPr>
        <w:pStyle w:val="ListParagraph"/>
        <w:numPr>
          <w:ilvl w:val="0"/>
          <w:numId w:val="1"/>
        </w:numPr>
        <w:spacing w:after="100" w:line="280"/>
      </w:pPr>
      <w:r>
        <w:rPr>
          <w:rFonts w:ascii="Calibri" w:cs="Calibri" w:eastAsia="Calibri" w:hAnsi="Calibri"/>
          <w:b/>
          <w:bCs/>
          <w:sz w:val="22"/>
          <w:szCs w:val="22"/>
        </w:rPr>
        <w:t xml:space="preserve">Projectmanager → stuurgroep</w:t>
      </w:r>
      <w:r>
        <w:rPr>
          <w:rFonts w:ascii="Calibri" w:cs="Calibri" w:eastAsia="Calibri" w:hAnsi="Calibri"/>
          <w:sz w:val="22"/>
          <w:szCs w:val="22"/>
        </w:rPr>
        <w:t xml:space="preserve">: het </w:t>
      </w:r>
      <w:r>
        <w:rPr>
          <w:rFonts w:ascii="Calibri" w:cs="Calibri" w:eastAsia="Calibri" w:hAnsi="Calibri"/>
          <w:b/>
          <w:bCs/>
          <w:sz w:val="22"/>
          <w:szCs w:val="22"/>
        </w:rPr>
        <w:t xml:space="preserve">Highlight Report</w:t>
      </w:r>
      <w:r>
        <w:rPr>
          <w:rFonts w:ascii="Calibri" w:cs="Calibri" w:eastAsia="Calibri" w:hAnsi="Calibri"/>
          <w:sz w:val="22"/>
          <w:szCs w:val="22"/>
        </w:rPr>
        <w:t xml:space="preserve"> (tijdgedreven, kort — een à twee pagina's), het </w:t>
      </w:r>
      <w:r>
        <w:rPr>
          <w:rFonts w:ascii="Calibri" w:cs="Calibri" w:eastAsia="Calibri" w:hAnsi="Calibri"/>
          <w:b/>
          <w:bCs/>
          <w:sz w:val="22"/>
          <w:szCs w:val="22"/>
        </w:rPr>
        <w:t xml:space="preserve">End Stage Report</w:t>
      </w:r>
      <w:r>
        <w:rPr>
          <w:rFonts w:ascii="Calibri" w:cs="Calibri" w:eastAsia="Calibri" w:hAnsi="Calibri"/>
          <w:sz w:val="22"/>
          <w:szCs w:val="22"/>
        </w:rPr>
        <w:t xml:space="preserve"> (gebeurtenisgedreven, bij faseovergang) en het </w:t>
      </w:r>
      <w:r>
        <w:rPr>
          <w:rFonts w:ascii="Calibri" w:cs="Calibri" w:eastAsia="Calibri" w:hAnsi="Calibri"/>
          <w:b/>
          <w:bCs/>
          <w:sz w:val="22"/>
          <w:szCs w:val="22"/>
        </w:rPr>
        <w:t xml:space="preserve">End Project Report</w:t>
      </w:r>
      <w:r>
        <w:rPr>
          <w:rFonts w:ascii="Calibri" w:cs="Calibri" w:eastAsia="Calibri" w:hAnsi="Calibri"/>
          <w:sz w:val="22"/>
          <w:szCs w:val="22"/>
        </w:rPr>
        <w:t xml:space="preserve"> (bij afsluiting).</w:t>
      </w:r>
    </w:p>
    <w:p>
      <w:pPr>
        <w:pStyle w:val="ListParagraph"/>
        <w:numPr>
          <w:ilvl w:val="0"/>
          <w:numId w:val="1"/>
        </w:numPr>
        <w:spacing w:after="100" w:line="280"/>
      </w:pPr>
      <w:r>
        <w:rPr>
          <w:rFonts w:ascii="Calibri" w:cs="Calibri" w:eastAsia="Calibri" w:hAnsi="Calibri"/>
          <w:b/>
          <w:bCs/>
          <w:sz w:val="22"/>
          <w:szCs w:val="22"/>
        </w:rPr>
        <w:t xml:space="preserve">Bij dreigende tolerantie-overschrijding</w:t>
      </w:r>
      <w:r>
        <w:rPr>
          <w:rFonts w:ascii="Calibri" w:cs="Calibri" w:eastAsia="Calibri" w:hAnsi="Calibri"/>
          <w:sz w:val="22"/>
          <w:szCs w:val="22"/>
        </w:rPr>
        <w:t xml:space="preserve">: de projectmanager legt het issue eerst vast (Issue Report, deel 5), en stelt vervolgens een </w:t>
      </w:r>
      <w:r>
        <w:rPr>
          <w:rFonts w:ascii="Calibri" w:cs="Calibri" w:eastAsia="Calibri" w:hAnsi="Calibri"/>
          <w:b/>
          <w:bCs/>
          <w:sz w:val="22"/>
          <w:szCs w:val="22"/>
        </w:rPr>
        <w:t xml:space="preserve">Exception Report</w:t>
      </w:r>
      <w:r>
        <w:rPr>
          <w:rFonts w:ascii="Calibri" w:cs="Calibri" w:eastAsia="Calibri" w:hAnsi="Calibri"/>
          <w:sz w:val="22"/>
          <w:szCs w:val="22"/>
        </w:rPr>
        <w:t xml:space="preserve"> op voor de stuurgroep. Op basis daarvan kan de stuurgroep om een </w:t>
      </w:r>
      <w:r>
        <w:rPr>
          <w:rFonts w:ascii="Calibri" w:cs="Calibri" w:eastAsia="Calibri" w:hAnsi="Calibri"/>
          <w:b/>
          <w:bCs/>
          <w:sz w:val="22"/>
          <w:szCs w:val="22"/>
        </w:rPr>
        <w:t xml:space="preserve">Exception Plan</w:t>
      </w:r>
      <w:r>
        <w:rPr>
          <w:rFonts w:ascii="Calibri" w:cs="Calibri" w:eastAsia="Calibri" w:hAnsi="Calibri"/>
          <w:sz w:val="22"/>
          <w:szCs w:val="22"/>
        </w:rPr>
        <w:t xml:space="preserve"> vragen (deel 4) ter vervanging van het resterende deel van het huidige plan.</w:t>
      </w:r>
    </w:p>
    <w:p>
      <w:pPr>
        <w:spacing w:after="140" w:line="300"/>
      </w:pPr>
      <w:r>
        <w:rPr>
          <w:rFonts w:ascii="Calibri" w:cs="Calibri" w:eastAsia="Calibri" w:hAnsi="Calibri"/>
          <w:sz w:val="22"/>
          <w:szCs w:val="22"/>
        </w:rPr>
        <w:t xml:space="preserve">Een veelvoorkomende examenval: een Highlight Report is altijd tijdgedreven (nooit "bij gebeurtenis X"), terwijl een Exception Report altijd gebeurtenisgedreven is (nooit "elke twee weken") — verwar deze twee niet.</w:t>
      </w:r>
    </w:p>
    <w:p>
      <w:pPr>
        <w:spacing w:after="140" w:line="300"/>
      </w:pPr>
      <w:r>
        <w:rPr>
          <w:rFonts w:ascii="Calibri" w:cs="Calibri" w:eastAsia="Calibri" w:hAnsi="Calibri"/>
          <w:b/>
          <w:bCs/>
          <w:sz w:val="22"/>
          <w:szCs w:val="22"/>
        </w:rPr>
        <w:t xml:space="preserve">Terug naar bevinding 5.</w:t>
      </w:r>
      <w:r>
        <w:rPr>
          <w:rFonts w:ascii="Calibri" w:cs="Calibri" w:eastAsia="Calibri" w:hAnsi="Calibri"/>
          <w:sz w:val="22"/>
          <w:szCs w:val="22"/>
        </w:rPr>
        <w:t xml:space="preserve"> Zonder afgesproken toleranties (bevinding 5, opgelost op principe-niveau in deel 2) kan Progress zijn werk niet doen: er is dan simpelweg niets om tegen te toetsen, en dus geen onderscheid tussen "dit hoort bij een Highlight Report" en "dit moet nú naar de stuurgroep." De Progress-practice is het concrete mechanisme dat deze bevinding structureel onmogelijk maakt, zolang de toleranties zelf goed zijn vastgesteld.</w:t>
      </w:r>
    </w:p>
    <w:p>
      <w:pPr>
        <w:pStyle w:val="Heading2"/>
        <w:spacing w:after="120" w:before="200"/>
      </w:pPr>
      <w:r>
        <w:rPr>
          <w:rFonts w:ascii="Georgia" w:cs="Georgia" w:eastAsia="Georgia" w:hAnsi="Georgia"/>
          <w:b/>
          <w:bCs/>
          <w:color w:val="2563A8"/>
          <w:sz w:val="28"/>
          <w:szCs w:val="28"/>
        </w:rPr>
        <w:t xml:space="preserve">4. Alle zeven bevindingen: de balans</w:t>
      </w:r>
    </w:p>
    <w:p>
      <w:pPr>
        <w:spacing w:after="140" w:line="300"/>
      </w:pPr>
      <w:r>
        <w:rPr>
          <w:rFonts w:ascii="Calibri" w:cs="Calibri" w:eastAsia="Calibri" w:hAnsi="Calibri"/>
          <w:sz w:val="22"/>
          <w:szCs w:val="22"/>
        </w:rPr>
        <w:t xml:space="preserve">Met Risk en Progress zijn nu alle zeven bevindingen uit deel 1 zowel op principeniveau (deel 2) als op practice-niveau (deel 3 t/m 6) geadresseerd:</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Bevinding</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Principe (deel 2)</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Practice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Geen levende business case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Ensure continued business justification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Business Case (deel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Stuurgroep zonder bevoegdheid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Define roles, responsibilities, relationships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Organizing (deel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Eén grote fase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Manage by stages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Progress / Plans (deel 4, 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 Activiteitenplanning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Focus on products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Plans (deel 4) + Quality (deel 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 Geen toleranties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Manage by exception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Progress (deel 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 Risicolijst zonder eigenaren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Learn from experience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Risk (deel 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 Geen zicht op baten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Tailor to suit the project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Business Case (deel 3)</w:t>
            </w:r>
          </w:p>
        </w:tc>
      </w:tr>
    </w:tbl>
    <w:p>
      <w:pPr>
        <w:pStyle w:val="Heading2"/>
        <w:spacing w:after="120" w:before="200"/>
      </w:pPr>
      <w:r>
        <w:rPr>
          <w:rFonts w:ascii="Georgia" w:cs="Georgia" w:eastAsia="Georgia" w:hAnsi="Georgia"/>
          <w:b/>
          <w:bCs/>
          <w:color w:val="2563A8"/>
          <w:sz w:val="28"/>
          <w:szCs w:val="28"/>
        </w:rPr>
        <w:t xml:space="preserve">5. Vooruitblik</w:t>
      </w:r>
    </w:p>
    <w:p>
      <w:pPr>
        <w:spacing w:after="140" w:line="300"/>
      </w:pPr>
      <w:r>
        <w:rPr>
          <w:rFonts w:ascii="Calibri" w:cs="Calibri" w:eastAsia="Calibri" w:hAnsi="Calibri"/>
          <w:sz w:val="22"/>
          <w:szCs w:val="22"/>
        </w:rPr>
        <w:t xml:space="preserve">Deel 7 en 8 behandelen de zeven processen — hoe Business Case, Organizing, Plans, Quality, Issues, Risk en Progress chronologisch samenkomen, van het eerste projectmandaat tot de formele afsluiting. Deel 7 begint met Starting up a Project, Initiating a Project en Directing a Project.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2026-08-17T07:33:50.339Z</dcterms:created>
  <dcterms:modified xsi:type="dcterms:W3CDTF">2026-08-17T07:33:50.341Z</dcterms:modified>
</cp:coreProperties>
</file>

<file path=docProps/custom.xml><?xml version="1.0" encoding="utf-8"?>
<Properties xmlns="http://schemas.openxmlformats.org/officeDocument/2006/custom-properties" xmlns:vt="http://schemas.openxmlformats.org/officeDocument/2006/docPropsVTypes"/>
</file>