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7 — Processen: opstarten, initiëren, sturen</w:t>
      </w:r>
    </w:p>
    <w:p>
      <w:pPr>
        <w:spacing w:after="300"/>
      </w:pPr>
      <w:r>
        <w:rPr>
          <w:rFonts w:ascii="Calibri" w:cs="Calibri" w:eastAsia="Calibri" w:hAnsi="Calibri"/>
          <w:i/>
          <w:iCs/>
          <w:color w:val="2563A8"/>
          <w:sz w:val="22"/>
          <w:szCs w:val="22"/>
        </w:rPr>
        <w:t xml:space="preserve">Niveau 1 Fundament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7 (van 10 in niveau 1)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 omslag maken van "losse bouwstenen" naar "een chronologisch geheel" — dit is het moment waarop deelnemers voor het eerst zien hoe Business Case, Organizing, Plans, Quality, Issues, Risk en Progress daadwerkelijk in de tijd worden toegepast, niet als geïsoleerde onderwerpen.</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van bouwstenen naar tijdlijn, de zeven processen genoemd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Starting up a Project: doel, trigger, activiteiten, output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7.1 (a, c, f — SU-onderdelen)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Initiating a Project: doel, activiteiten, PID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7.1 (b, d, h — IP-onderdelen)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Directing a Project: vijf besluiten, waarom doorlopend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7.1 (e, g — DP-onderdelen) + 7.3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7.4, 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Behandel opdracht 7.1 in drie porties, verweven met de presentatie, in plaats van als één blok aan het eind.</w:t>
      </w:r>
      <w:r>
        <w:rPr>
          <w:rFonts w:ascii="Calibri" w:cs="Calibri" w:eastAsia="Calibri" w:hAnsi="Calibri"/>
          <w:sz w:val="22"/>
          <w:szCs w:val="22"/>
        </w:rPr>
        <w:t xml:space="preserve"> Dat houdt de koppeling tussen theorie en toepassing direct vast, en voorkomt dat deelnemers aan het eind van het deel alle drie de processen door elkaar gaan halen.</w:t>
      </w:r>
    </w:p>
    <w:p>
      <w:pPr>
        <w:pStyle w:val="ListParagraph"/>
        <w:numPr>
          <w:ilvl w:val="0"/>
          <w:numId w:val="1"/>
        </w:numPr>
        <w:spacing w:after="100" w:line="280"/>
      </w:pPr>
      <w:r>
        <w:rPr>
          <w:rFonts w:ascii="Calibri" w:cs="Calibri" w:eastAsia="Calibri" w:hAnsi="Calibri"/>
          <w:b/>
          <w:bCs/>
          <w:sz w:val="22"/>
          <w:szCs w:val="22"/>
        </w:rPr>
        <w:t xml:space="preserve">Het SU/IP-gewichtsonderscheid (opdracht 7.4) is inhoudelijk belangrijker dan het lijkt.</w:t>
      </w:r>
      <w:r>
        <w:rPr>
          <w:rFonts w:ascii="Calibri" w:cs="Calibri" w:eastAsia="Calibri" w:hAnsi="Calibri"/>
          <w:sz w:val="22"/>
          <w:szCs w:val="22"/>
        </w:rPr>
        <w:t xml:space="preserve"> Veel beginnende projectmanagers willen SU juist grondig aanpakken "om niets te missen" — leg uit dat dit het doel van SU ondermijnt: hoe meer tijd en geld in SU wordt gestoken, hoe moeilijker het wordt om een slecht project alsnog vroegtijdig te stoppen (sunk cost). Dit thema komt uitgebreid terug in niveau 3 (deel 26, verdedigbaar stoppen).</w:t>
      </w:r>
    </w:p>
    <w:p>
      <w:pPr>
        <w:pStyle w:val="ListParagraph"/>
        <w:numPr>
          <w:ilvl w:val="0"/>
          <w:numId w:val="1"/>
        </w:numPr>
        <w:spacing w:after="100" w:line="280"/>
      </w:pPr>
      <w:r>
        <w:rPr>
          <w:rFonts w:ascii="Calibri" w:cs="Calibri" w:eastAsia="Calibri" w:hAnsi="Calibri"/>
          <w:b/>
          <w:bCs/>
          <w:sz w:val="22"/>
          <w:szCs w:val="22"/>
        </w:rPr>
        <w:t xml:space="preserve">Bij Directing a Project is de valkuil dat deelnemers het als "de stuurgroepvergadering" zien.</w:t>
      </w:r>
      <w:r>
        <w:rPr>
          <w:rFonts w:ascii="Calibri" w:cs="Calibri" w:eastAsia="Calibri" w:hAnsi="Calibri"/>
          <w:sz w:val="22"/>
          <w:szCs w:val="22"/>
        </w:rPr>
        <w:t xml:space="preserve"> Corrigeer dit expliciet: Directing a Project is een doorlopend proces, waarvan geplande vergaderingen (bij faseovergangen) slechts een deel zijn — de ad-hocsturing is minstens zo belangrijk, en juist dát ontbrak bij WGP 2.0.</w:t>
      </w:r>
    </w:p>
    <w:p>
      <w:pPr>
        <w:pStyle w:val="ListParagraph"/>
        <w:numPr>
          <w:ilvl w:val="0"/>
          <w:numId w:val="1"/>
        </w:numPr>
        <w:spacing w:after="100" w:line="280"/>
      </w:pPr>
      <w:r>
        <w:rPr>
          <w:rFonts w:ascii="Calibri" w:cs="Calibri" w:eastAsia="Calibri" w:hAnsi="Calibri"/>
          <w:b/>
          <w:bCs/>
          <w:sz w:val="22"/>
          <w:szCs w:val="22"/>
        </w:rPr>
        <w:t xml:space="preserve">Bij opdracht 7.2c is het doel niet een uitputtende PID, maar het expliciet terugleggen van de link naar de practices uit deel 3–6.</w:t>
      </w:r>
      <w:r>
        <w:rPr>
          <w:rFonts w:ascii="Calibri" w:cs="Calibri" w:eastAsia="Calibri" w:hAnsi="Calibri"/>
          <w:sz w:val="22"/>
          <w:szCs w:val="22"/>
        </w:rPr>
        <w:t xml:space="preserve"> Stuur actief door te vragen: "welke practice hoort hierbij, en waarom moet dit al in IP staan en niet pas later?"</w:t>
      </w:r>
    </w:p>
    <w:p>
      <w:pPr>
        <w:pStyle w:val="Heading2"/>
        <w:spacing w:after="120" w:before="200"/>
      </w:pPr>
      <w:r>
        <w:rPr>
          <w:rFonts w:ascii="Georgia" w:cs="Georgia" w:eastAsia="Georgia" w:hAnsi="Georgia"/>
          <w:b/>
          <w:bCs/>
          <w:color w:val="2563A8"/>
          <w:sz w:val="28"/>
          <w:szCs w:val="28"/>
        </w:rPr>
        <w:t xml:space="preserve">Modelantwoorden — Opdracht 7.1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DP (autoriseren van initiatie op basis van de project brief — let op: dit item beschrijft het besluit ná SU, dus DP, niet IP zelf)</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IP</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SU</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IP</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DP</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SU</w:t>
      </w:r>
    </w:p>
    <w:p>
      <w:pPr>
        <w:spacing w:after="120" w:line="280"/>
        <w:ind w:left="360" w:hanging="360"/>
      </w:pPr>
      <w:r>
        <w:rPr>
          <w:rFonts w:ascii="Calibri" w:cs="Calibri" w:eastAsia="Calibri" w:hAnsi="Calibri"/>
          <w:b/>
          <w:bCs/>
          <w:color w:val="2563A8"/>
          <w:sz w:val="22"/>
          <w:szCs w:val="22"/>
        </w:rPr>
        <w:t xml:space="preserve">g. </w:t>
      </w:r>
      <w:r>
        <w:rPr>
          <w:rFonts w:ascii="Calibri" w:cs="Calibri" w:eastAsia="Calibri" w:hAnsi="Calibri"/>
          <w:sz w:val="22"/>
          <w:szCs w:val="22"/>
        </w:rPr>
        <w:t xml:space="preserve">DP</w:t>
      </w:r>
    </w:p>
    <w:p>
      <w:pPr>
        <w:spacing w:after="120" w:line="280"/>
        <w:ind w:left="360" w:hanging="360"/>
      </w:pPr>
      <w:r>
        <w:rPr>
          <w:rFonts w:ascii="Calibri" w:cs="Calibri" w:eastAsia="Calibri" w:hAnsi="Calibri"/>
          <w:b/>
          <w:bCs/>
          <w:color w:val="2563A8"/>
          <w:sz w:val="22"/>
          <w:szCs w:val="22"/>
        </w:rPr>
        <w:t xml:space="preserve">h. </w:t>
      </w:r>
      <w:r>
        <w:rPr>
          <w:rFonts w:ascii="Calibri" w:cs="Calibri" w:eastAsia="Calibri" w:hAnsi="Calibri"/>
          <w:sz w:val="22"/>
          <w:szCs w:val="22"/>
        </w:rPr>
        <w:t xml:space="preserve">IP</w:t>
      </w:r>
    </w:p>
    <w:p>
      <w:pPr>
        <w:pStyle w:val="Heading2"/>
        <w:spacing w:after="120" w:before="200"/>
      </w:pPr>
      <w:r>
        <w:rPr>
          <w:rFonts w:ascii="Georgia" w:cs="Georgia" w:eastAsia="Georgia" w:hAnsi="Georgia"/>
          <w:b/>
          <w:bCs/>
          <w:color w:val="2563A8"/>
          <w:sz w:val="28"/>
          <w:szCs w:val="28"/>
        </w:rPr>
        <w:t xml:space="preserve">Modelantwoorden — Opdracht 7.2</w:t>
      </w:r>
    </w:p>
    <w:p>
      <w:pPr>
        <w:spacing w:after="140" w:line="300"/>
      </w:pPr>
      <w:r>
        <w:rPr>
          <w:rFonts w:ascii="Calibri" w:cs="Calibri" w:eastAsia="Calibri" w:hAnsi="Calibri"/>
          <w:sz w:val="22"/>
          <w:szCs w:val="22"/>
        </w:rPr>
        <w:t xml:space="preserve">Er is geen uniek juist antwoord; beoordeel op structuur en juiste koppeling aan practices. Voorbeeld:</w:t>
      </w:r>
    </w:p>
    <w:p>
      <w:pPr>
        <w:pStyle w:val="ListParagraph"/>
        <w:numPr>
          <w:ilvl w:val="0"/>
          <w:numId w:val="1"/>
        </w:numPr>
        <w:spacing w:after="100" w:line="280"/>
      </w:pPr>
      <w:r>
        <w:rPr>
          <w:rFonts w:ascii="Calibri" w:cs="Calibri" w:eastAsia="Calibri" w:hAnsi="Calibri"/>
          <w:sz w:val="22"/>
          <w:szCs w:val="22"/>
        </w:rPr>
        <w:t xml:space="preserve">(a) "De directie van Meridiaan constateert dat een aanzienlijk deel van de helpdeskbelasting bestaat uit wachtwoordresets voor het werkgeversportaal. Gevraagd wordt een self-service oplossing te onderzoeken en, indien haalbaar, te realiseren binnen het lopende kwartaal."</w:t>
      </w:r>
    </w:p>
    <w:p>
      <w:pPr>
        <w:pStyle w:val="ListParagraph"/>
        <w:numPr>
          <w:ilvl w:val="0"/>
          <w:numId w:val="1"/>
        </w:numPr>
        <w:spacing w:after="100" w:line="280"/>
      </w:pPr>
      <w:r>
        <w:rPr>
          <w:rFonts w:ascii="Calibri" w:cs="Calibri" w:eastAsia="Calibri" w:hAnsi="Calibri"/>
          <w:sz w:val="22"/>
          <w:szCs w:val="22"/>
        </w:rPr>
        <w:t xml:space="preserve">(b) Executive en projectmanager benoemen door IT-directie; outline business case opstellen door de Executive; Project Product Description opstellen door de projectmanager in overleg met Senior User.</w:t>
      </w:r>
    </w:p>
    <w:p>
      <w:pPr>
        <w:pStyle w:val="ListParagraph"/>
        <w:numPr>
          <w:ilvl w:val="0"/>
          <w:numId w:val="1"/>
        </w:numPr>
        <w:spacing w:after="100" w:line="280"/>
      </w:pPr>
      <w:r>
        <w:rPr>
          <w:rFonts w:ascii="Calibri" w:cs="Calibri" w:eastAsia="Calibri" w:hAnsi="Calibri"/>
          <w:sz w:val="22"/>
          <w:szCs w:val="22"/>
        </w:rPr>
        <w:t xml:space="preserve">(c) Risicomanagementaanpak (Risk-practice, deel 6) — nodig omdat zelfs een klein project onzekerheden kent (bijvoorbeeld: koppeling met het identiteitsbeheersysteem). Kwaliteitsmanagementaanpak (Quality-practice, deel 5) — nodig om acceptatiecriteria voor de nieuwe functie vast te leggen. Project Plan met product-based planning (Plans-practice, deel 4) — ook een klein project heeft baat bij een PBS, al is die eenvoudig.</w:t>
      </w:r>
    </w:p>
    <w:p>
      <w:pPr>
        <w:pStyle w:val="Heading2"/>
        <w:spacing w:after="120" w:before="200"/>
      </w:pPr>
      <w:r>
        <w:rPr>
          <w:rFonts w:ascii="Georgia" w:cs="Georgia" w:eastAsia="Georgia" w:hAnsi="Georgia"/>
          <w:b/>
          <w:bCs/>
          <w:color w:val="2563A8"/>
          <w:sz w:val="28"/>
          <w:szCs w:val="28"/>
        </w:rPr>
        <w:t xml:space="preserve">Modelantwoord — Opdracht 7.3</w:t>
      </w:r>
    </w:p>
    <w:p>
      <w:pPr>
        <w:spacing w:after="140" w:line="300"/>
      </w:pPr>
      <w:r>
        <w:rPr>
          <w:rFonts w:ascii="Calibri" w:cs="Calibri" w:eastAsia="Calibri" w:hAnsi="Calibri"/>
          <w:sz w:val="22"/>
          <w:szCs w:val="22"/>
        </w:rPr>
        <w:t xml:space="preserve">Als een stuurgroep Directing a Project als eenmalige fase aan het begin zou zien, zou er geen mechanisme meer zijn voor ad-hocsturing tussen geplande momenten door — precies bevinding 2 (stuurgroep zonder bevoegdheid, want nooit echt "aan") en bevinding 3 (geen tussentijds beslismoment). Het proces zou dan feitelijk zijn gereduceerd tot alleen de eerste van de vijf besluittypen, met de andere vier (met name ad-hocsturing) zonder eigenaar.</w:t>
      </w:r>
    </w:p>
    <w:p>
      <w:pPr>
        <w:pStyle w:val="Heading2"/>
        <w:spacing w:after="120" w:before="200"/>
      </w:pPr>
      <w:r>
        <w:rPr>
          <w:rFonts w:ascii="Georgia" w:cs="Georgia" w:eastAsia="Georgia" w:hAnsi="Georgia"/>
          <w:b/>
          <w:bCs/>
          <w:color w:val="2563A8"/>
          <w:sz w:val="28"/>
          <w:szCs w:val="28"/>
        </w:rPr>
        <w:t xml:space="preserve">Modelantwoord — Opdracht 7.4</w:t>
      </w:r>
    </w:p>
    <w:p>
      <w:pPr>
        <w:spacing w:after="140" w:line="300"/>
      </w:pPr>
      <w:r>
        <w:rPr>
          <w:rFonts w:ascii="Calibri" w:cs="Calibri" w:eastAsia="Calibri" w:hAnsi="Calibri"/>
          <w:sz w:val="22"/>
          <w:szCs w:val="22"/>
        </w:rPr>
        <w:t xml:space="preserve">Mogelijke redenen: (1) SU moet juist snel en goedkoop kunnen concluderen "dit is geen goed idee" — een zware SU ondermijnt dat doel door de investering al op te laten lopen vóórdat er een besluit ligt; (2) de informatie die nodig is voor een grondige uitwerking (gedetailleerde risico's, volledige productbeschrijvingen) is vaak nog niet betrouwbaar beschikbaar vóórdat de scope door IP is vastgesteld — grondig plannen op basis van onvolledige informatie is verspilde moeite.</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Een slordige lessen-ophaal-stap levert een vinklijst op zonder gedragsverandering — precies het patroon dat bevinding 6 (leren van ervaring) beschrijft. Het risico is dat de herstart van WGP 2.0 dezelfde fouten herhaalt onder een nieuwe naam, omdat de lessen wel genoemd maar niet daadwerkelijk verwerkt zijn in de keuzes voor rollen, tailoring, of de PID.</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de Project Brief hetzelfde als de PID?"</w:t>
      </w:r>
      <w:r>
        <w:rPr>
          <w:rFonts w:ascii="Calibri" w:cs="Calibri" w:eastAsia="Calibri" w:hAnsi="Calibri"/>
          <w:sz w:val="22"/>
          <w:szCs w:val="22"/>
        </w:rPr>
        <w:t xml:space="preserve"> Nee — de project brief (output van SU) is een korte, grove eerste schets; de PID (output van IP) is de volledige, uitgewerkte en gebaseerde versie waartegen de rest van het project wordt beoordeeld.</w:t>
      </w:r>
    </w:p>
    <w:p>
      <w:pPr>
        <w:pStyle w:val="ListParagraph"/>
        <w:numPr>
          <w:ilvl w:val="0"/>
          <w:numId w:val="1"/>
        </w:numPr>
        <w:spacing w:after="100" w:line="280"/>
      </w:pPr>
      <w:r>
        <w:rPr>
          <w:rFonts w:ascii="Calibri" w:cs="Calibri" w:eastAsia="Calibri" w:hAnsi="Calibri"/>
          <w:i/>
          <w:iCs/>
          <w:sz w:val="22"/>
          <w:szCs w:val="22"/>
        </w:rPr>
        <w:t xml:space="preserve">"Wie beslist of een project van SU naar IP mag?"</w:t>
      </w:r>
      <w:r>
        <w:rPr>
          <w:rFonts w:ascii="Calibri" w:cs="Calibri" w:eastAsia="Calibri" w:hAnsi="Calibri"/>
          <w:sz w:val="22"/>
          <w:szCs w:val="22"/>
        </w:rPr>
        <w:t xml:space="preserve"> De stuurgroep, via Directing a Project — nooit de projectmanager zelf.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7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2026-08-17T07:33:35.382Z</dcterms:created>
  <dcterms:modified xsi:type="dcterms:W3CDTF">2026-08-17T07:33:35.383Z</dcterms:modified>
</cp:coreProperties>
</file>

<file path=docProps/custom.xml><?xml version="1.0" encoding="utf-8"?>
<Properties xmlns="http://schemas.openxmlformats.org/officeDocument/2006/custom-properties" xmlns:vt="http://schemas.openxmlformats.org/officeDocument/2006/docPropsVTypes"/>
</file>