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Deel 8 — Processen: beheersen, opleveren, faseovergang, afsluiten</w:t>
      </w:r>
    </w:p>
    <w:p>
      <w:pPr>
        <w:spacing w:after="300"/>
      </w:pPr>
      <w:r>
        <w:rPr>
          <w:rFonts w:ascii="Calibri" w:cs="Calibri" w:eastAsia="Calibri" w:hAnsi="Calibri"/>
          <w:i/>
          <w:iCs/>
          <w:color w:val="2563A8"/>
          <w:sz w:val="22"/>
          <w:szCs w:val="22"/>
        </w:rPr>
        <w:t xml:space="preserve">Niveau 1 Fundament · Project- en Programmamanagement</w:t>
      </w:r>
    </w:p>
    <w:p>
      <w:pPr>
        <w:spacing w:after="140" w:line="300"/>
      </w:pPr>
      <w:r>
        <w:rPr>
          <w:rFonts w:ascii="Calibri" w:cs="Calibri" w:eastAsia="Calibri" w:hAnsi="Calibri"/>
          <w:b/>
          <w:bCs/>
          <w:sz w:val="22"/>
          <w:szCs w:val="22"/>
        </w:rPr>
        <w:t xml:space="preserve">Dagdeel:</w:t>
      </w:r>
      <w:r>
        <w:rPr>
          <w:rFonts w:ascii="Calibri" w:cs="Calibri" w:eastAsia="Calibri" w:hAnsi="Calibri"/>
          <w:sz w:val="22"/>
          <w:szCs w:val="22"/>
        </w:rPr>
        <w:t xml:space="preserve"> 8 (van 10 in niveau 1) · </w:t>
      </w:r>
      <w:r>
        <w:rPr>
          <w:rFonts w:ascii="Calibri" w:cs="Calibri" w:eastAsia="Calibri" w:hAnsi="Calibri"/>
          <w:b/>
          <w:bCs/>
          <w:sz w:val="22"/>
          <w:szCs w:val="22"/>
        </w:rPr>
        <w:t xml:space="preserve">Duur:</w:t>
      </w:r>
      <w:r>
        <w:rPr>
          <w:rFonts w:ascii="Calibri" w:cs="Calibri" w:eastAsia="Calibri" w:hAnsi="Calibri"/>
          <w:sz w:val="22"/>
          <w:szCs w:val="22"/>
        </w:rPr>
        <w:t xml:space="preserve"> circa 3 uur, inclusief pauze</w:t>
      </w:r>
    </w:p>
    <w:p>
      <w:pPr>
        <w:spacing w:after="140" w:line="300"/>
      </w:pPr>
      <w:r>
        <w:rPr>
          <w:rFonts w:ascii="Calibri" w:cs="Calibri" w:eastAsia="Calibri" w:hAnsi="Calibri"/>
          <w:b/>
          <w:bCs/>
          <w:sz w:val="22"/>
          <w:szCs w:val="22"/>
        </w:rPr>
        <w:t xml:space="preserve">Doel van dit deel:</w:t>
      </w:r>
      <w:r>
        <w:rPr>
          <w:rFonts w:ascii="Calibri" w:cs="Calibri" w:eastAsia="Calibri" w:hAnsi="Calibri"/>
          <w:sz w:val="22"/>
          <w:szCs w:val="22"/>
        </w:rPr>
        <w:t xml:space="preserve"> de procesketen afronden — na dit deel kunnen deelnemers de volledige levenscyclus van een PRINCE2-project chronologisch reconstrueren, van mandaat tot afsluiting, met elk van de zeven processen op de juiste plek.</w:t>
      </w:r>
    </w:p>
    <w:p>
      <w:pPr>
        <w:pStyle w:val="Heading2"/>
        <w:spacing w:after="120" w:before="200"/>
      </w:pPr>
      <w:r>
        <w:rPr>
          <w:rFonts w:ascii="Georgia" w:cs="Georgia" w:eastAsia="Georgia" w:hAnsi="Georgia"/>
          <w:b/>
          <w:bCs/>
          <w:color w:val="2563A8"/>
          <w:sz w:val="28"/>
          <w:szCs w:val="28"/>
        </w:rPr>
        <w:t xml:space="preserve">Opbouw en timing</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Vorm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Terugblik deel 7, introductie: de vier processen die "de motor" vormen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0:10–0:30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Controlling a Stage: acht activiteiten in drie groepen (reader §2)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0:30–0:45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Managing Product Delivery: drie activiteiten, perspectief teammanager (reader §3)</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0:45–1:00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8.1 (a, d, g — CS/MP-items)</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 + bespreking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1:00–1:10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1:10–1:25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8.2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Tweetallen + bespreking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1:25–1:45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Managing a Stage Boundary: activiteiten, exceptieplan-route (reader §4)</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1:45–2:05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Closing a Project: twee triggers, activiteiten (reader §5)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2:05–2:15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8.1 (rest) en 8.3</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Klassikaal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2:15–2:28</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8.4 — de volledige procesketen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Klassikaal, op het bord/whiteboard</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2:28–2:30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Vooruitblik</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Afsluiting</w:t>
            </w:r>
          </w:p>
        </w:tc>
      </w:tr>
    </w:tbl>
    <w:p>
      <w:pPr>
        <w:pStyle w:val="Heading2"/>
        <w:spacing w:after="120" w:before="200"/>
      </w:pPr>
      <w:r>
        <w:rPr>
          <w:rFonts w:ascii="Georgia" w:cs="Georgia" w:eastAsia="Georgia" w:hAnsi="Georgia"/>
          <w:b/>
          <w:bCs/>
          <w:color w:val="2563A8"/>
          <w:sz w:val="28"/>
          <w:szCs w:val="28"/>
        </w:rPr>
        <w:t xml:space="preserve">Didactische aanwijzingen</w:t>
      </w:r>
    </w:p>
    <w:p>
      <w:pPr>
        <w:pStyle w:val="ListParagraph"/>
        <w:numPr>
          <w:ilvl w:val="0"/>
          <w:numId w:val="1"/>
        </w:numPr>
        <w:spacing w:after="100" w:line="280"/>
      </w:pPr>
      <w:r>
        <w:rPr>
          <w:rFonts w:ascii="Calibri" w:cs="Calibri" w:eastAsia="Calibri" w:hAnsi="Calibri"/>
          <w:b/>
          <w:bCs/>
          <w:sz w:val="22"/>
          <w:szCs w:val="22"/>
        </w:rPr>
        <w:t xml:space="preserve">CS en MP worden bijna altijd door elkaar gehaald, omdat ze over hetzelfde werk gaan.</w:t>
      </w:r>
      <w:r>
        <w:rPr>
          <w:rFonts w:ascii="Calibri" w:cs="Calibri" w:eastAsia="Calibri" w:hAnsi="Calibri"/>
          <w:sz w:val="22"/>
          <w:szCs w:val="22"/>
        </w:rPr>
        <w:t xml:space="preserve"> Dit is precies het punt van opdracht 8.2: laat expliciet benoemen dat het niet om verschillende activiteiten gaat, maar om hetzelfde werkpakket bekeken vanuit twee verschillende rollen. Een goede test: "wie doet dit — de projectmanager (dan CS) of de teammanager (dan MP)?"</w:t>
      </w:r>
    </w:p>
    <w:p>
      <w:pPr>
        <w:pStyle w:val="ListParagraph"/>
        <w:numPr>
          <w:ilvl w:val="0"/>
          <w:numId w:val="1"/>
        </w:numPr>
        <w:spacing w:after="100" w:line="280"/>
      </w:pPr>
      <w:r>
        <w:rPr>
          <w:rFonts w:ascii="Calibri" w:cs="Calibri" w:eastAsia="Calibri" w:hAnsi="Calibri"/>
          <w:b/>
          <w:bCs/>
          <w:sz w:val="22"/>
          <w:szCs w:val="22"/>
        </w:rPr>
        <w:t xml:space="preserve">Bij Managing a Stage Boundary is de link naar de Business Case-practice (deel 3) het moment om die stof weer op te halen.</w:t>
      </w:r>
      <w:r>
        <w:rPr>
          <w:rFonts w:ascii="Calibri" w:cs="Calibri" w:eastAsia="Calibri" w:hAnsi="Calibri"/>
          <w:sz w:val="22"/>
          <w:szCs w:val="22"/>
        </w:rPr>
        <w:t xml:space="preserve"> Herinner deelnemers eraan dat dit precies het "updated"-moment is uit het ontwikkelpad van de business case (deel 3, §2) — het is verhelderend als deelnemers deze verbinding zelf leggen in plaats van dat je die alleen voordoet.</w:t>
      </w:r>
    </w:p>
    <w:p>
      <w:pPr>
        <w:pStyle w:val="ListParagraph"/>
        <w:numPr>
          <w:ilvl w:val="0"/>
          <w:numId w:val="1"/>
        </w:numPr>
        <w:spacing w:after="100" w:line="280"/>
      </w:pPr>
      <w:r>
        <w:rPr>
          <w:rFonts w:ascii="Calibri" w:cs="Calibri" w:eastAsia="Calibri" w:hAnsi="Calibri"/>
          <w:b/>
          <w:bCs/>
          <w:sz w:val="22"/>
          <w:szCs w:val="22"/>
        </w:rPr>
        <w:t xml:space="preserve">Bij Closing a Project is het cruciaal te benadrukken dat dit geen aparte fase is.</w:t>
      </w:r>
      <w:r>
        <w:rPr>
          <w:rFonts w:ascii="Calibri" w:cs="Calibri" w:eastAsia="Calibri" w:hAnsi="Calibri"/>
          <w:sz w:val="22"/>
          <w:szCs w:val="22"/>
        </w:rPr>
        <w:t xml:space="preserve"> Veel deelnemers denken intuïtief in "bouwfase → testfase → afsluitfase" — leg uit dat PRINCE2 bewust anders kiest: afsluiting is een set activiteiten binnen de laatste beheersfase, niet een fase op zichzelf. Dit voorkomt dat teams "vergeten" om sluitingsactiviteiten al vroeg in te plannen.</w:t>
      </w:r>
    </w:p>
    <w:p>
      <w:pPr>
        <w:pStyle w:val="ListParagraph"/>
        <w:numPr>
          <w:ilvl w:val="0"/>
          <w:numId w:val="1"/>
        </w:numPr>
        <w:spacing w:after="100" w:line="280"/>
      </w:pPr>
      <w:r>
        <w:rPr>
          <w:rFonts w:ascii="Calibri" w:cs="Calibri" w:eastAsia="Calibri" w:hAnsi="Calibri"/>
          <w:b/>
          <w:bCs/>
          <w:sz w:val="22"/>
          <w:szCs w:val="22"/>
        </w:rPr>
        <w:t xml:space="preserve">Opdracht 8.4 is het examenmoment van dit deel — behandel het als zodanig.</w:t>
      </w:r>
      <w:r>
        <w:rPr>
          <w:rFonts w:ascii="Calibri" w:cs="Calibri" w:eastAsia="Calibri" w:hAnsi="Calibri"/>
          <w:sz w:val="22"/>
          <w:szCs w:val="22"/>
        </w:rPr>
        <w:t xml:space="preserve"> Laat de groep gezamenlijk, op het bord, de volledige keten reconstrueren zonder de reader erbij te pakken. Dit is de beste voorspeller van hoe goed de examenstof inmiddels beklijft.</w:t>
      </w:r>
    </w:p>
    <w:p>
      <w:pPr>
        <w:pStyle w:val="Heading2"/>
        <w:spacing w:after="120" w:before="200"/>
      </w:pPr>
      <w:r>
        <w:rPr>
          <w:rFonts w:ascii="Georgia" w:cs="Georgia" w:eastAsia="Georgia" w:hAnsi="Georgia"/>
          <w:b/>
          <w:bCs/>
          <w:color w:val="2563A8"/>
          <w:sz w:val="28"/>
          <w:szCs w:val="28"/>
        </w:rPr>
        <w:t xml:space="preserve">Modelantwoorden — Opdracht 8.1</w:t>
      </w:r>
    </w:p>
    <w:p>
      <w:pPr>
        <w:spacing w:after="120" w:line="280"/>
        <w:ind w:left="360" w:hanging="360"/>
      </w:pPr>
      <w:r>
        <w:rPr>
          <w:rFonts w:ascii="Calibri" w:cs="Calibri" w:eastAsia="Calibri" w:hAnsi="Calibri"/>
          <w:b/>
          <w:bCs/>
          <w:color w:val="2563A8"/>
          <w:sz w:val="22"/>
          <w:szCs w:val="22"/>
        </w:rPr>
        <w:t xml:space="preserve">a. </w:t>
      </w:r>
      <w:r>
        <w:rPr>
          <w:rFonts w:ascii="Calibri" w:cs="Calibri" w:eastAsia="Calibri" w:hAnsi="Calibri"/>
          <w:sz w:val="22"/>
          <w:szCs w:val="22"/>
        </w:rPr>
        <w:t xml:space="preserve">MP (accept work package)</w:t>
      </w:r>
    </w:p>
    <w:p>
      <w:pPr>
        <w:spacing w:after="120" w:line="280"/>
        <w:ind w:left="360" w:hanging="360"/>
      </w:pPr>
      <w:r>
        <w:rPr>
          <w:rFonts w:ascii="Calibri" w:cs="Calibri" w:eastAsia="Calibri" w:hAnsi="Calibri"/>
          <w:b/>
          <w:bCs/>
          <w:color w:val="2563A8"/>
          <w:sz w:val="22"/>
          <w:szCs w:val="22"/>
        </w:rPr>
        <w:t xml:space="preserve">b. </w:t>
      </w:r>
      <w:r>
        <w:rPr>
          <w:rFonts w:ascii="Calibri" w:cs="Calibri" w:eastAsia="Calibri" w:hAnsi="Calibri"/>
          <w:sz w:val="22"/>
          <w:szCs w:val="22"/>
        </w:rPr>
        <w:t xml:space="preserve">SB (of, indien tussentijds, direct binnen CS met escalatie — accepteer beide antwoorden met argumentatie)</w:t>
      </w:r>
    </w:p>
    <w:p>
      <w:pPr>
        <w:spacing w:after="120" w:line="280"/>
        <w:ind w:left="360" w:hanging="360"/>
      </w:pPr>
      <w:r>
        <w:rPr>
          <w:rFonts w:ascii="Calibri" w:cs="Calibri" w:eastAsia="Calibri" w:hAnsi="Calibri"/>
          <w:b/>
          <w:bCs/>
          <w:color w:val="2563A8"/>
          <w:sz w:val="22"/>
          <w:szCs w:val="22"/>
        </w:rPr>
        <w:t xml:space="preserve">c. </w:t>
      </w:r>
      <w:r>
        <w:rPr>
          <w:rFonts w:ascii="Calibri" w:cs="Calibri" w:eastAsia="Calibri" w:hAnsi="Calibri"/>
          <w:sz w:val="22"/>
          <w:szCs w:val="22"/>
        </w:rPr>
        <w:t xml:space="preserve">SB</w:t>
      </w:r>
    </w:p>
    <w:p>
      <w:pPr>
        <w:spacing w:after="120" w:line="280"/>
        <w:ind w:left="360" w:hanging="360"/>
      </w:pPr>
      <w:r>
        <w:rPr>
          <w:rFonts w:ascii="Calibri" w:cs="Calibri" w:eastAsia="Calibri" w:hAnsi="Calibri"/>
          <w:b/>
          <w:bCs/>
          <w:color w:val="2563A8"/>
          <w:sz w:val="22"/>
          <w:szCs w:val="22"/>
        </w:rPr>
        <w:t xml:space="preserve">d. </w:t>
      </w:r>
      <w:r>
        <w:rPr>
          <w:rFonts w:ascii="Calibri" w:cs="Calibri" w:eastAsia="Calibri" w:hAnsi="Calibri"/>
          <w:sz w:val="22"/>
          <w:szCs w:val="22"/>
        </w:rPr>
        <w:t xml:space="preserve">MP (deliver work package)</w:t>
      </w:r>
    </w:p>
    <w:p>
      <w:pPr>
        <w:spacing w:after="120" w:line="280"/>
        <w:ind w:left="360" w:hanging="360"/>
      </w:pPr>
      <w:r>
        <w:rPr>
          <w:rFonts w:ascii="Calibri" w:cs="Calibri" w:eastAsia="Calibri" w:hAnsi="Calibri"/>
          <w:b/>
          <w:bCs/>
          <w:color w:val="2563A8"/>
          <w:sz w:val="22"/>
          <w:szCs w:val="22"/>
        </w:rPr>
        <w:t xml:space="preserve">e. </w:t>
      </w:r>
      <w:r>
        <w:rPr>
          <w:rFonts w:ascii="Calibri" w:cs="Calibri" w:eastAsia="Calibri" w:hAnsi="Calibri"/>
          <w:sz w:val="22"/>
          <w:szCs w:val="22"/>
        </w:rPr>
        <w:t xml:space="preserve">CP</w:t>
      </w:r>
    </w:p>
    <w:p>
      <w:pPr>
        <w:spacing w:after="120" w:line="280"/>
        <w:ind w:left="360" w:hanging="360"/>
      </w:pPr>
      <w:r>
        <w:rPr>
          <w:rFonts w:ascii="Calibri" w:cs="Calibri" w:eastAsia="Calibri" w:hAnsi="Calibri"/>
          <w:b/>
          <w:bCs/>
          <w:color w:val="2563A8"/>
          <w:sz w:val="22"/>
          <w:szCs w:val="22"/>
        </w:rPr>
        <w:t xml:space="preserve">f. </w:t>
      </w:r>
      <w:r>
        <w:rPr>
          <w:rFonts w:ascii="Calibri" w:cs="Calibri" w:eastAsia="Calibri" w:hAnsi="Calibri"/>
          <w:sz w:val="22"/>
          <w:szCs w:val="22"/>
        </w:rPr>
        <w:t xml:space="preserve">CP</w:t>
      </w:r>
    </w:p>
    <w:p>
      <w:pPr>
        <w:spacing w:after="120" w:line="280"/>
        <w:ind w:left="360" w:hanging="360"/>
      </w:pPr>
      <w:r>
        <w:rPr>
          <w:rFonts w:ascii="Calibri" w:cs="Calibri" w:eastAsia="Calibri" w:hAnsi="Calibri"/>
          <w:b/>
          <w:bCs/>
          <w:color w:val="2563A8"/>
          <w:sz w:val="22"/>
          <w:szCs w:val="22"/>
        </w:rPr>
        <w:t xml:space="preserve">g. </w:t>
      </w:r>
      <w:r>
        <w:rPr>
          <w:rFonts w:ascii="Calibri" w:cs="Calibri" w:eastAsia="Calibri" w:hAnsi="Calibri"/>
          <w:sz w:val="22"/>
          <w:szCs w:val="22"/>
        </w:rPr>
        <w:t xml:space="preserve">CS (authorize work package)</w:t>
      </w:r>
    </w:p>
    <w:p>
      <w:pPr>
        <w:spacing w:after="120" w:line="280"/>
        <w:ind w:left="360" w:hanging="360"/>
      </w:pPr>
      <w:r>
        <w:rPr>
          <w:rFonts w:ascii="Calibri" w:cs="Calibri" w:eastAsia="Calibri" w:hAnsi="Calibri"/>
          <w:b/>
          <w:bCs/>
          <w:color w:val="2563A8"/>
          <w:sz w:val="22"/>
          <w:szCs w:val="22"/>
        </w:rPr>
        <w:t xml:space="preserve">h. </w:t>
      </w:r>
      <w:r>
        <w:rPr>
          <w:rFonts w:ascii="Calibri" w:cs="Calibri" w:eastAsia="Calibri" w:hAnsi="Calibri"/>
          <w:sz w:val="22"/>
          <w:szCs w:val="22"/>
        </w:rPr>
        <w:t xml:space="preserve">SB</w:t>
      </w:r>
    </w:p>
    <w:p>
      <w:pPr>
        <w:pStyle w:val="Heading2"/>
        <w:spacing w:after="120" w:before="200"/>
      </w:pPr>
      <w:r>
        <w:rPr>
          <w:rFonts w:ascii="Georgia" w:cs="Georgia" w:eastAsia="Georgia" w:hAnsi="Georgia"/>
          <w:b/>
          <w:bCs/>
          <w:color w:val="2563A8"/>
          <w:sz w:val="28"/>
          <w:szCs w:val="28"/>
        </w:rPr>
        <w:t xml:space="preserve">Modelantwoorden — Opdracht 8.2</w:t>
      </w:r>
    </w:p>
    <w:p>
      <w:pPr>
        <w:spacing w:after="120" w:line="280"/>
        <w:ind w:left="360" w:hanging="360"/>
      </w:pPr>
      <w:r>
        <w:rPr>
          <w:rFonts w:ascii="Calibri" w:cs="Calibri" w:eastAsia="Calibri" w:hAnsi="Calibri"/>
          <w:b/>
          <w:bCs/>
          <w:color w:val="2563A8"/>
          <w:sz w:val="22"/>
          <w:szCs w:val="22"/>
        </w:rPr>
        <w:t xml:space="preserve">a. </w:t>
      </w:r>
      <w:r>
        <w:rPr>
          <w:rFonts w:ascii="Calibri" w:cs="Calibri" w:eastAsia="Calibri" w:hAnsi="Calibri"/>
          <w:sz w:val="22"/>
          <w:szCs w:val="22"/>
        </w:rPr>
        <w:t xml:space="preserve">CS-perspectief: de projectmanager autoriseert het werkpakket, op basis van het Stage Plan en de beschikbare toleranties. MP-perspectief: de teammanager accepteert het werkpakket, onderzoekt de productbeschrijvingen en kwaliteitscriteria, en stelt eventueel een Team Plan op.</w:t>
      </w:r>
    </w:p>
    <w:p>
      <w:pPr>
        <w:spacing w:after="120" w:line="280"/>
        <w:ind w:left="360" w:hanging="360"/>
      </w:pPr>
      <w:r>
        <w:rPr>
          <w:rFonts w:ascii="Calibri" w:cs="Calibri" w:eastAsia="Calibri" w:hAnsi="Calibri"/>
          <w:b/>
          <w:bCs/>
          <w:color w:val="2563A8"/>
          <w:sz w:val="22"/>
          <w:szCs w:val="22"/>
        </w:rPr>
        <w:t xml:space="preserve">b. </w:t>
      </w:r>
      <w:r>
        <w:rPr>
          <w:rFonts w:ascii="Calibri" w:cs="Calibri" w:eastAsia="Calibri" w:hAnsi="Calibri"/>
          <w:sz w:val="22"/>
          <w:szCs w:val="22"/>
        </w:rPr>
        <w:t xml:space="preserve">CS-perspectief: de projectmanager beoordeelt, via het Checkpoint Report, of dit de faseTolerantie raakt en beslist over corrigerende actie of escalatie. MP-perspectief: de teammanager signaleert de vertraging als issue richting de projectmanager en werkt eigen registers bij.</w:t>
      </w:r>
    </w:p>
    <w:p>
      <w:pPr>
        <w:pStyle w:val="Heading2"/>
        <w:spacing w:after="120" w:before="200"/>
      </w:pPr>
      <w:r>
        <w:rPr>
          <w:rFonts w:ascii="Georgia" w:cs="Georgia" w:eastAsia="Georgia" w:hAnsi="Georgia"/>
          <w:b/>
          <w:bCs/>
          <w:color w:val="2563A8"/>
          <w:sz w:val="28"/>
          <w:szCs w:val="28"/>
        </w:rPr>
        <w:t xml:space="preserve">Modelantwoorden — Opdracht 8.3</w:t>
      </w:r>
    </w:p>
    <w:p>
      <w:pPr>
        <w:spacing w:after="120" w:line="280"/>
        <w:ind w:left="360" w:hanging="360"/>
      </w:pPr>
      <w:r>
        <w:rPr>
          <w:rFonts w:ascii="Calibri" w:cs="Calibri" w:eastAsia="Calibri" w:hAnsi="Calibri"/>
          <w:b/>
          <w:bCs/>
          <w:color w:val="2563A8"/>
          <w:sz w:val="22"/>
          <w:szCs w:val="22"/>
        </w:rPr>
        <w:t xml:space="preserve">a. </w:t>
      </w:r>
      <w:r>
        <w:rPr>
          <w:rFonts w:ascii="Calibri" w:cs="Calibri" w:eastAsia="Calibri" w:hAnsi="Calibri"/>
          <w:sz w:val="22"/>
          <w:szCs w:val="22"/>
        </w:rPr>
        <w:t xml:space="preserve">Geplande afsluiting — standaardactiviteiten: producten overdragen, End Project Report, Lessons Report, bijgewerkte batenbeheeraanpak.</w:t>
      </w:r>
    </w:p>
    <w:p>
      <w:pPr>
        <w:spacing w:after="120" w:line="280"/>
        <w:ind w:left="360" w:hanging="360"/>
      </w:pPr>
      <w:r>
        <w:rPr>
          <w:rFonts w:ascii="Calibri" w:cs="Calibri" w:eastAsia="Calibri" w:hAnsi="Calibri"/>
          <w:b/>
          <w:bCs/>
          <w:color w:val="2563A8"/>
          <w:sz w:val="22"/>
          <w:szCs w:val="22"/>
        </w:rPr>
        <w:t xml:space="preserve">b. </w:t>
      </w:r>
      <w:r>
        <w:rPr>
          <w:rFonts w:ascii="Calibri" w:cs="Calibri" w:eastAsia="Calibri" w:hAnsi="Calibri"/>
          <w:sz w:val="22"/>
          <w:szCs w:val="22"/>
        </w:rPr>
        <w:t xml:space="preserve">Premature afsluiting — extra: redenen voor vroegtijdige beëindiging vastleggen, beoordelen welke (deel)producten alsnog bruikbaar te maken of veilig te stellen zijn, en een aangepaste toelichting in het End Project Report over waarom het project niet volgens plan is afgerond.</w:t>
      </w:r>
    </w:p>
    <w:p>
      <w:pPr>
        <w:pStyle w:val="Heading2"/>
        <w:spacing w:after="120" w:before="200"/>
      </w:pPr>
      <w:r>
        <w:rPr>
          <w:rFonts w:ascii="Georgia" w:cs="Georgia" w:eastAsia="Georgia" w:hAnsi="Georgia"/>
          <w:b/>
          <w:bCs/>
          <w:color w:val="2563A8"/>
          <w:sz w:val="28"/>
          <w:szCs w:val="28"/>
        </w:rPr>
        <w:t xml:space="preserve">Modelantwoord — Opdracht 8.4</w:t>
      </w:r>
    </w:p>
    <w:p>
      <w:pPr>
        <w:spacing w:after="140" w:line="300"/>
      </w:pPr>
      <w:r>
        <w:rPr>
          <w:rFonts w:ascii="Calibri" w:cs="Calibri" w:eastAsia="Calibri" w:hAnsi="Calibri"/>
          <w:sz w:val="22"/>
          <w:szCs w:val="22"/>
        </w:rPr>
        <w:t xml:space="preserve">Mandaat → SU → DP (autoriseer initiatie) → IP → DP (autoriseer project) → [Fase 1: CS + MP] → SB → DP (autoriseer fase 2) → [Fase 2: CS + MP] → SB → DP (autoriseer fase 3) → [Fase 3: CS + MP + CP, in de laatste fase] → DP (autoriseer afsluiting). Directing a Project loopt als doorlopende band naast dit hele schema.</w:t>
      </w:r>
    </w:p>
    <w:p>
      <w:pPr>
        <w:pStyle w:val="Heading2"/>
        <w:spacing w:after="120" w:before="200"/>
      </w:pPr>
      <w:r>
        <w:rPr>
          <w:rFonts w:ascii="Georgia" w:cs="Georgia" w:eastAsia="Georgia" w:hAnsi="Georgia"/>
          <w:b/>
          <w:bCs/>
          <w:color w:val="2563A8"/>
          <w:sz w:val="28"/>
          <w:szCs w:val="28"/>
        </w:rPr>
        <w:t xml:space="preserve">Modelantwoord — Reflectievraag</w:t>
      </w:r>
    </w:p>
    <w:p>
      <w:pPr>
        <w:spacing w:after="140" w:line="300"/>
      </w:pPr>
      <w:r>
        <w:rPr>
          <w:rFonts w:ascii="Calibri" w:cs="Calibri" w:eastAsia="Calibri" w:hAnsi="Calibri"/>
          <w:sz w:val="22"/>
          <w:szCs w:val="22"/>
        </w:rPr>
        <w:t xml:space="preserve">Een aparte afsluitfase zou het risico met zich meebrengen dat sluitingsactiviteiten (producten overdragen, evalueren, lessen vastleggen) pas ná alle inhoudelijke werk worden gepland — vaak onder tijdsdruk en met minder aandacht, precies op het moment dat het project "klaar voelt". Door afsluiting als onderdeel van de laatste beheersfase te behandelen, wordt er al bij het plannen van díe fase rekening mee gehouden, inclusief tijd en middelen — wat de kans verkleint dat sluiting wordt afgeraffeld.</w:t>
      </w:r>
    </w:p>
    <w:p>
      <w:pPr>
        <w:pStyle w:val="Heading2"/>
        <w:spacing w:after="120" w:before="200"/>
      </w:pPr>
      <w:r>
        <w:rPr>
          <w:rFonts w:ascii="Georgia" w:cs="Georgia" w:eastAsia="Georgia" w:hAnsi="Georgia"/>
          <w:b/>
          <w:bCs/>
          <w:color w:val="2563A8"/>
          <w:sz w:val="28"/>
          <w:szCs w:val="28"/>
        </w:rPr>
        <w:t xml:space="preserve">Veelgestelde vragen</w:t>
      </w:r>
    </w:p>
    <w:p>
      <w:pPr>
        <w:pStyle w:val="ListParagraph"/>
        <w:numPr>
          <w:ilvl w:val="0"/>
          <w:numId w:val="1"/>
        </w:numPr>
        <w:spacing w:after="100" w:line="280"/>
      </w:pPr>
      <w:r>
        <w:rPr>
          <w:rFonts w:ascii="Calibri" w:cs="Calibri" w:eastAsia="Calibri" w:hAnsi="Calibri"/>
          <w:i/>
          <w:iCs/>
          <w:sz w:val="22"/>
          <w:szCs w:val="22"/>
        </w:rPr>
        <w:t xml:space="preserve">"Wat gebeurt er als een fase eindigt zonder dat er een volgende fase komt (want het project sluit)?"</w:t>
      </w:r>
      <w:r>
        <w:rPr>
          <w:rFonts w:ascii="Calibri" w:cs="Calibri" w:eastAsia="Calibri" w:hAnsi="Calibri"/>
          <w:sz w:val="22"/>
          <w:szCs w:val="22"/>
        </w:rPr>
        <w:t xml:space="preserve"> Dan wordt Managing a Stage Boundary niet uitgevoerd voor die laatste fase — in plaats daarvan bevat die laatste fase Closing a Project.</w:t>
      </w:r>
    </w:p>
    <w:p>
      <w:pPr>
        <w:pStyle w:val="ListParagraph"/>
        <w:numPr>
          <w:ilvl w:val="0"/>
          <w:numId w:val="1"/>
        </w:numPr>
        <w:spacing w:after="100" w:line="280"/>
      </w:pPr>
      <w:r>
        <w:rPr>
          <w:rFonts w:ascii="Calibri" w:cs="Calibri" w:eastAsia="Calibri" w:hAnsi="Calibri"/>
          <w:i/>
          <w:iCs/>
          <w:sz w:val="22"/>
          <w:szCs w:val="22"/>
        </w:rPr>
        <w:t xml:space="preserve">"Kan een project meerdere keren een exceptieplan nodig hebben binnen dezelfde fase?"</w:t>
      </w:r>
      <w:r>
        <w:rPr>
          <w:rFonts w:ascii="Calibri" w:cs="Calibri" w:eastAsia="Calibri" w:hAnsi="Calibri"/>
          <w:sz w:val="22"/>
          <w:szCs w:val="22"/>
        </w:rPr>
        <w:t xml:space="preserve"> In theorie ja, al zou herhaalde tolerantie-overschrijding zelf reden moeten zijn om de business case en de haalbaarheid van het project fundamenteel te heroverwegen — een signaal richting Directing a Project, niet alleen richting nóg een exceptieplan.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Project- en Programmamanagement · Niveau 1 Fundament · Deel 8 · Docentenhandleiding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2026-08-17T07:32:29.995Z</dcterms:created>
  <dcterms:modified xsi:type="dcterms:W3CDTF">2026-08-17T07:32:29.995Z</dcterms:modified>
</cp:coreProperties>
</file>

<file path=docProps/custom.xml><?xml version="1.0" encoding="utf-8"?>
<Properties xmlns="http://schemas.openxmlformats.org/officeDocument/2006/custom-properties" xmlns:vt="http://schemas.openxmlformats.org/officeDocument/2006/docPropsVTypes"/>
</file>