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9 — IPMA-D: wat PRINCE2 niet dekt</w:t>
      </w:r>
    </w:p>
    <w:p>
      <w:pPr>
        <w:spacing w:after="300"/>
      </w:pPr>
      <w:r>
        <w:rPr>
          <w:rFonts w:ascii="Calibri" w:cs="Calibri" w:eastAsia="Calibri" w:hAnsi="Calibri"/>
          <w:i/>
          <w:iCs/>
          <w:color w:val="2563A8"/>
          <w:sz w:val="22"/>
          <w:szCs w:val="22"/>
        </w:rPr>
        <w:t xml:space="preserve">Niveau 1 Fundament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9 (van 10 in niveau 1)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deelnemers laten zien dat IPMA-D geen concurrent van PRINCE2 is, maar een aanvulling — en de rekenvaardigheden (netwerkplanning, EVA) daadwerkelijk laten oefenen, want dit zijn de onderdelen waarop IPMA-D-kandidaten in de praktijk het meest struikelen.</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methode vs. competentiebaseline, het eye of competence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Gedrag en leiderschap: Tuckman, situationeel leiderschap, conflict (reader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9.1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0:40–0:55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Stakeholderanalyse: macht/belang-matrix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0:55–1:10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9.2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Netwerkplanning en kritieke pad (reader §4) — uitgewerkt voorbeeld op het bord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 interactief</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9.3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met begeleiding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Earned Value Analysis (reader §5)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2:20–2:28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9.4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klassikale nabespreking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2:28–2:30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Rekenvaardigheden (netwerkplanning en EVA) vereisen actief voordoen, niet alleen uitleggen.</w:t>
      </w:r>
      <w:r>
        <w:rPr>
          <w:rFonts w:ascii="Calibri" w:cs="Calibri" w:eastAsia="Calibri" w:hAnsi="Calibri"/>
          <w:sz w:val="22"/>
          <w:szCs w:val="22"/>
        </w:rPr>
        <w:t xml:space="preserve"> Werk vóór opdracht 9.3 een kleiner, apart voorbeeld volledig uit op het bord — inclusief voorwaartse én achterwaartse doorrekening — voordat deelnemers zelfstandig aan de slag gaan met de tabel uit de opdracht.</w:t>
      </w:r>
    </w:p>
    <w:p>
      <w:pPr>
        <w:pStyle w:val="ListParagraph"/>
        <w:numPr>
          <w:ilvl w:val="0"/>
          <w:numId w:val="1"/>
        </w:numPr>
        <w:spacing w:after="100" w:line="280"/>
      </w:pPr>
      <w:r>
        <w:rPr>
          <w:rFonts w:ascii="Calibri" w:cs="Calibri" w:eastAsia="Calibri" w:hAnsi="Calibri"/>
          <w:b/>
          <w:bCs/>
          <w:sz w:val="22"/>
          <w:szCs w:val="22"/>
        </w:rPr>
        <w:t xml:space="preserve">De valkuil bij netwerkplanning is dat deelnemers vergeten dat een activiteit met twee voorgangers pas kan starten als béíde voorgangers klaar zijn (het maximum, niet het gemiddelde).</w:t>
      </w:r>
      <w:r>
        <w:rPr>
          <w:rFonts w:ascii="Calibri" w:cs="Calibri" w:eastAsia="Calibri" w:hAnsi="Calibri"/>
          <w:sz w:val="22"/>
          <w:szCs w:val="22"/>
        </w:rPr>
        <w:t xml:space="preserve"> Dit is precies waar activiteit E in opdracht 9.3 op test (moet wachten op zowel B als D).</w:t>
      </w:r>
    </w:p>
    <w:p>
      <w:pPr>
        <w:pStyle w:val="ListParagraph"/>
        <w:numPr>
          <w:ilvl w:val="0"/>
          <w:numId w:val="1"/>
        </w:numPr>
        <w:spacing w:after="100" w:line="280"/>
      </w:pPr>
      <w:r>
        <w:rPr>
          <w:rFonts w:ascii="Calibri" w:cs="Calibri" w:eastAsia="Calibri" w:hAnsi="Calibri"/>
          <w:b/>
          <w:bCs/>
          <w:sz w:val="22"/>
          <w:szCs w:val="22"/>
        </w:rPr>
        <w:t xml:space="preserve">Bij EVA is de interpretatiestap (9.4c) net zo belangrijk als het rekenwerk.</w:t>
      </w:r>
      <w:r>
        <w:rPr>
          <w:rFonts w:ascii="Calibri" w:cs="Calibri" w:eastAsia="Calibri" w:hAnsi="Calibri"/>
          <w:sz w:val="22"/>
          <w:szCs w:val="22"/>
        </w:rPr>
        <w:t xml:space="preserve"> Laat expliciet benoemen dat SPI en CPI onafhankelijk van elkaar kunnen afwijken — een project kan tegelijk achter op schema én onder budget zijn (zoals in het rekenvoorbeeld in de reader), wat een heel ander gesprek met de stuurgroep oplevert dan wanneer beide negatief zijn.</w:t>
      </w:r>
    </w:p>
    <w:p>
      <w:pPr>
        <w:pStyle w:val="ListParagraph"/>
        <w:numPr>
          <w:ilvl w:val="0"/>
          <w:numId w:val="1"/>
        </w:numPr>
        <w:spacing w:after="100" w:line="280"/>
      </w:pPr>
      <w:r>
        <w:rPr>
          <w:rFonts w:ascii="Calibri" w:cs="Calibri" w:eastAsia="Calibri" w:hAnsi="Calibri"/>
          <w:b/>
          <w:bCs/>
          <w:sz w:val="22"/>
          <w:szCs w:val="22"/>
        </w:rPr>
        <w:t xml:space="preserve">Leg bij de macht/belang-matrix uit dat de kwadranten niet statisch zijn.</w:t>
      </w:r>
      <w:r>
        <w:rPr>
          <w:rFonts w:ascii="Calibri" w:cs="Calibri" w:eastAsia="Calibri" w:hAnsi="Calibri"/>
          <w:sz w:val="22"/>
          <w:szCs w:val="22"/>
        </w:rPr>
        <w:t xml:space="preserve"> Een stakeholder kan van kwadrant veranderen naarmate het project vordert (bijvoorbeeld: de OR heeft aanvankelijk weinig belang, maar zodra werkprocessen van Klantcontact veranderen, stijgt hun belang) — de matrix moet periodiek worden herzien, net als het risicoregister.</w:t>
      </w:r>
    </w:p>
    <w:p>
      <w:pPr>
        <w:pStyle w:val="Heading2"/>
        <w:spacing w:after="120" w:before="200"/>
      </w:pPr>
      <w:r>
        <w:rPr>
          <w:rFonts w:ascii="Georgia" w:cs="Georgia" w:eastAsia="Georgia" w:hAnsi="Georgia"/>
          <w:b/>
          <w:bCs/>
          <w:color w:val="2563A8"/>
          <w:sz w:val="28"/>
          <w:szCs w:val="28"/>
        </w:rPr>
        <w:t xml:space="preserve">Modelantwoorden — Opdracht 9.1</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Forming — interventie: duidelijke kaders en verwachtingen scheppen, ruimte voor kennismaking.</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Storming — interventie: bemiddelen, rolverdeling expliciet herbevestigen, niet forceren maar begeleiden.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Performing — interventie: loslaten, faciliteren in plaats van sturen.</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Norming — interventie: afspraken bekrachtigen en consistent toepassen.</w:t>
      </w:r>
    </w:p>
    <w:p>
      <w:pPr>
        <w:pStyle w:val="Heading2"/>
        <w:spacing w:after="120" w:before="200"/>
      </w:pPr>
      <w:r>
        <w:rPr>
          <w:rFonts w:ascii="Georgia" w:cs="Georgia" w:eastAsia="Georgia" w:hAnsi="Georgia"/>
          <w:b/>
          <w:bCs/>
          <w:color w:val="2563A8"/>
          <w:sz w:val="28"/>
          <w:szCs w:val="28"/>
        </w:rPr>
        <w:t xml:space="preserve">Modelantwoorden — Opdracht 9.2</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OR: potentieel hoge macht (formeel instemmingsrecht bij bepaalde besluiten), wisselend belang afhankelijk van impact op werkprocessen — aanpak: tevreden houden, tijdig en gericht informeren, escaleren naar nauw betrekken zodra werkprocessen wijzigen.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Individuele werkgever: lage macht, hoog belang — aanpak: geïnformeerd houden via heldere communicatie en gebruiksvriendelijke documentatie, niet via formele projectkanalen.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IT-beheerorganisatie: gemiddelde tot hoge macht (moet het na oplevering dragen), hoog belang — aanpak: nauw betrekken, vooral richting het einde van het project (deel 8, overdracht van producten).</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DNB: hoge macht (toezichthoudende bevoegdheid), belang afhankelijk van of het project toezichtrelevante processen raakt — aanpak: op de achtergrond monitoren tenzij het project raakvlakken met toezicht krijgt, dan direct opschalen naar nauw betrekken.</w:t>
      </w:r>
    </w:p>
    <w:p>
      <w:pPr>
        <w:pStyle w:val="Heading2"/>
        <w:spacing w:after="120" w:before="200"/>
      </w:pPr>
      <w:r>
        <w:rPr>
          <w:rFonts w:ascii="Georgia" w:cs="Georgia" w:eastAsia="Georgia" w:hAnsi="Georgia"/>
          <w:b/>
          <w:bCs/>
          <w:color w:val="2563A8"/>
          <w:sz w:val="28"/>
          <w:szCs w:val="28"/>
        </w:rPr>
        <w:t xml:space="preserve">Modelantwoorden — Opdracht 9.3</w:t>
      </w:r>
    </w:p>
    <w:p>
      <w:pPr>
        <w:spacing w:after="140" w:line="300"/>
      </w:pPr>
      <w:r>
        <w:rPr>
          <w:rFonts w:ascii="Calibri" w:cs="Calibri" w:eastAsia="Calibri" w:hAnsi="Calibri"/>
          <w:sz w:val="22"/>
          <w:szCs w:val="22"/>
        </w:rPr>
        <w:t xml:space="preserve">Voorwaartse doorrekening (vroegst mogelijke start/einde in dagen):</w:t>
      </w:r>
    </w:p>
    <w:p>
      <w:pPr>
        <w:pStyle w:val="ListParagraph"/>
        <w:numPr>
          <w:ilvl w:val="0"/>
          <w:numId w:val="1"/>
        </w:numPr>
        <w:spacing w:after="100" w:line="280"/>
      </w:pPr>
      <w:r>
        <w:rPr>
          <w:rFonts w:ascii="Calibri" w:cs="Calibri" w:eastAsia="Calibri" w:hAnsi="Calibri"/>
          <w:sz w:val="22"/>
          <w:szCs w:val="22"/>
        </w:rPr>
        <w:t xml:space="preserve">A: start 0, einde 5</w:t>
      </w:r>
    </w:p>
    <w:p>
      <w:pPr>
        <w:pStyle w:val="ListParagraph"/>
        <w:numPr>
          <w:ilvl w:val="0"/>
          <w:numId w:val="1"/>
        </w:numPr>
        <w:spacing w:after="100" w:line="280"/>
      </w:pPr>
      <w:r>
        <w:rPr>
          <w:rFonts w:ascii="Calibri" w:cs="Calibri" w:eastAsia="Calibri" w:hAnsi="Calibri"/>
          <w:sz w:val="22"/>
          <w:szCs w:val="22"/>
        </w:rPr>
        <w:t xml:space="preserve">B: start 5, einde 13</w:t>
      </w:r>
    </w:p>
    <w:p>
      <w:pPr>
        <w:pStyle w:val="ListParagraph"/>
        <w:numPr>
          <w:ilvl w:val="0"/>
          <w:numId w:val="1"/>
        </w:numPr>
        <w:spacing w:after="100" w:line="280"/>
      </w:pPr>
      <w:r>
        <w:rPr>
          <w:rFonts w:ascii="Calibri" w:cs="Calibri" w:eastAsia="Calibri" w:hAnsi="Calibri"/>
          <w:sz w:val="22"/>
          <w:szCs w:val="22"/>
        </w:rPr>
        <w:t xml:space="preserve">C: start 0, einde 3</w:t>
      </w:r>
    </w:p>
    <w:p>
      <w:pPr>
        <w:pStyle w:val="ListParagraph"/>
        <w:numPr>
          <w:ilvl w:val="0"/>
          <w:numId w:val="1"/>
        </w:numPr>
        <w:spacing w:after="100" w:line="280"/>
      </w:pPr>
      <w:r>
        <w:rPr>
          <w:rFonts w:ascii="Calibri" w:cs="Calibri" w:eastAsia="Calibri" w:hAnsi="Calibri"/>
          <w:sz w:val="22"/>
          <w:szCs w:val="22"/>
        </w:rPr>
        <w:t xml:space="preserve">D: start 3, einde 9</w:t>
      </w:r>
    </w:p>
    <w:p>
      <w:pPr>
        <w:pStyle w:val="ListParagraph"/>
        <w:numPr>
          <w:ilvl w:val="0"/>
          <w:numId w:val="1"/>
        </w:numPr>
        <w:spacing w:after="100" w:line="280"/>
      </w:pPr>
      <w:r>
        <w:rPr>
          <w:rFonts w:ascii="Calibri" w:cs="Calibri" w:eastAsia="Calibri" w:hAnsi="Calibri"/>
          <w:sz w:val="22"/>
          <w:szCs w:val="22"/>
        </w:rPr>
        <w:t xml:space="preserve">E: start 13 (wacht op zowel B als D, dus het maximum van 13 en 9), einde 17</w:t>
      </w:r>
    </w:p>
    <w:p>
      <w:pPr>
        <w:pStyle w:val="ListParagraph"/>
        <w:numPr>
          <w:ilvl w:val="0"/>
          <w:numId w:val="1"/>
        </w:numPr>
        <w:spacing w:after="100" w:line="280"/>
      </w:pPr>
      <w:r>
        <w:rPr>
          <w:rFonts w:ascii="Calibri" w:cs="Calibri" w:eastAsia="Calibri" w:hAnsi="Calibri"/>
          <w:sz w:val="22"/>
          <w:szCs w:val="22"/>
        </w:rPr>
        <w:t xml:space="preserve">F: start 17, einde 20</w:t>
      </w:r>
    </w:p>
    <w:p>
      <w:pPr>
        <w:spacing w:after="140" w:line="300"/>
      </w:pPr>
      <w:r>
        <w:rPr>
          <w:rFonts w:ascii="Calibri" w:cs="Calibri" w:eastAsia="Calibri" w:hAnsi="Calibri"/>
          <w:sz w:val="22"/>
          <w:szCs w:val="22"/>
        </w:rPr>
        <w:t xml:space="preserve">Kritieke pad: </w:t>
      </w:r>
      <w:r>
        <w:rPr>
          <w:rFonts w:ascii="Calibri" w:cs="Calibri" w:eastAsia="Calibri" w:hAnsi="Calibri"/>
          <w:b/>
          <w:bCs/>
          <w:sz w:val="22"/>
          <w:szCs w:val="22"/>
        </w:rPr>
        <w:t xml:space="preserve">A → B → E → F</w:t>
      </w:r>
      <w:r>
        <w:rPr>
          <w:rFonts w:ascii="Calibri" w:cs="Calibri" w:eastAsia="Calibri" w:hAnsi="Calibri"/>
          <w:sz w:val="22"/>
          <w:szCs w:val="22"/>
        </w:rPr>
        <w:t xml:space="preserve">, totale doorlooptijd </w:t>
      </w:r>
      <w:r>
        <w:rPr>
          <w:rFonts w:ascii="Calibri" w:cs="Calibri" w:eastAsia="Calibri" w:hAnsi="Calibri"/>
          <w:b/>
          <w:bCs/>
          <w:sz w:val="22"/>
          <w:szCs w:val="22"/>
        </w:rPr>
        <w:t xml:space="preserve">20 dagen</w:t>
      </w:r>
      <w:r>
        <w:rPr>
          <w:rFonts w:ascii="Calibri" w:cs="Calibri" w:eastAsia="Calibri" w:hAnsi="Calibri"/>
          <w:sz w:val="22"/>
          <w:szCs w:val="22"/>
        </w:rPr>
        <w:t xml:space="preserve">.</w:t>
      </w:r>
    </w:p>
    <w:p>
      <w:pPr>
        <w:spacing w:after="140" w:line="300"/>
      </w:pPr>
      <w:r>
        <w:rPr>
          <w:rFonts w:ascii="Calibri" w:cs="Calibri" w:eastAsia="Calibri" w:hAnsi="Calibri"/>
          <w:sz w:val="22"/>
          <w:szCs w:val="22"/>
        </w:rPr>
        <w:t xml:space="preserve">Speling: C heeft 4 dagen speling, D heeft 4 dagen speling (de keten C-D duurt 9 dagen, maar E hoeft pas op dag 13 te starten — 13 − 9 = 4). A, B, E en F hebben 0 speling (liggen op het kritieke pad).</w:t>
      </w:r>
    </w:p>
    <w:p>
      <w:pPr>
        <w:pStyle w:val="Heading2"/>
        <w:spacing w:after="120" w:before="200"/>
      </w:pPr>
      <w:r>
        <w:rPr>
          <w:rFonts w:ascii="Georgia" w:cs="Georgia" w:eastAsia="Georgia" w:hAnsi="Georgia"/>
          <w:b/>
          <w:bCs/>
          <w:color w:val="2563A8"/>
          <w:sz w:val="28"/>
          <w:szCs w:val="28"/>
        </w:rPr>
        <w:t xml:space="preserve">Modelantwoorden — Opdracht 9.4</w:t>
      </w:r>
    </w:p>
    <w:p>
      <w:pPr>
        <w:pStyle w:val="ListParagraph"/>
        <w:numPr>
          <w:ilvl w:val="0"/>
          <w:numId w:val="1"/>
        </w:numPr>
        <w:spacing w:after="100" w:line="280"/>
      </w:pPr>
      <w:r>
        <w:rPr>
          <w:rFonts w:ascii="Calibri" w:cs="Calibri" w:eastAsia="Calibri" w:hAnsi="Calibri"/>
          <w:sz w:val="22"/>
          <w:szCs w:val="22"/>
        </w:rPr>
        <w:t xml:space="preserve">SV = EV − PV = 75.000 − 90.000 = </w:t>
      </w:r>
      <w:r>
        <w:rPr>
          <w:rFonts w:ascii="Calibri" w:cs="Calibri" w:eastAsia="Calibri" w:hAnsi="Calibri"/>
          <w:b/>
          <w:bCs/>
          <w:sz w:val="22"/>
          <w:szCs w:val="22"/>
        </w:rPr>
        <w:t xml:space="preserve">−15.000</w:t>
      </w:r>
    </w:p>
    <w:p>
      <w:pPr>
        <w:pStyle w:val="ListParagraph"/>
        <w:numPr>
          <w:ilvl w:val="0"/>
          <w:numId w:val="1"/>
        </w:numPr>
        <w:spacing w:after="100" w:line="280"/>
      </w:pPr>
      <w:r>
        <w:rPr>
          <w:rFonts w:ascii="Calibri" w:cs="Calibri" w:eastAsia="Calibri" w:hAnsi="Calibri"/>
          <w:sz w:val="22"/>
          <w:szCs w:val="22"/>
        </w:rPr>
        <w:t xml:space="preserve">CV = EV − AC = 75.000 − 70.000 = </w:t>
      </w:r>
      <w:r>
        <w:rPr>
          <w:rFonts w:ascii="Calibri" w:cs="Calibri" w:eastAsia="Calibri" w:hAnsi="Calibri"/>
          <w:b/>
          <w:bCs/>
          <w:sz w:val="22"/>
          <w:szCs w:val="22"/>
        </w:rPr>
        <w:t xml:space="preserve">+5.000</w:t>
      </w:r>
    </w:p>
    <w:p>
      <w:pPr>
        <w:pStyle w:val="ListParagraph"/>
        <w:numPr>
          <w:ilvl w:val="0"/>
          <w:numId w:val="1"/>
        </w:numPr>
        <w:spacing w:after="100" w:line="280"/>
      </w:pPr>
      <w:r>
        <w:rPr>
          <w:rFonts w:ascii="Calibri" w:cs="Calibri" w:eastAsia="Calibri" w:hAnsi="Calibri"/>
          <w:sz w:val="22"/>
          <w:szCs w:val="22"/>
        </w:rPr>
        <w:t xml:space="preserve">SPI = EV ÷ PV = 75.000 ÷ 90.000 ≈ </w:t>
      </w:r>
      <w:r>
        <w:rPr>
          <w:rFonts w:ascii="Calibri" w:cs="Calibri" w:eastAsia="Calibri" w:hAnsi="Calibri"/>
          <w:b/>
          <w:bCs/>
          <w:sz w:val="22"/>
          <w:szCs w:val="22"/>
        </w:rPr>
        <w:t xml:space="preserve">0,83</w:t>
      </w:r>
    </w:p>
    <w:p>
      <w:pPr>
        <w:pStyle w:val="ListParagraph"/>
        <w:numPr>
          <w:ilvl w:val="0"/>
          <w:numId w:val="1"/>
        </w:numPr>
        <w:spacing w:after="100" w:line="280"/>
      </w:pPr>
      <w:r>
        <w:rPr>
          <w:rFonts w:ascii="Calibri" w:cs="Calibri" w:eastAsia="Calibri" w:hAnsi="Calibri"/>
          <w:sz w:val="22"/>
          <w:szCs w:val="22"/>
        </w:rPr>
        <w:t xml:space="preserve">CPI = EV ÷ AC = 75.000 ÷ 70.000 ≈ </w:t>
      </w:r>
      <w:r>
        <w:rPr>
          <w:rFonts w:ascii="Calibri" w:cs="Calibri" w:eastAsia="Calibri" w:hAnsi="Calibri"/>
          <w:b/>
          <w:bCs/>
          <w:sz w:val="22"/>
          <w:szCs w:val="22"/>
        </w:rPr>
        <w:t xml:space="preserve">1,07</w:t>
      </w:r>
    </w:p>
    <w:p>
      <w:pPr>
        <w:spacing w:after="140" w:line="300"/>
      </w:pPr>
      <w:r>
        <w:rPr>
          <w:rFonts w:ascii="Calibri" w:cs="Calibri" w:eastAsia="Calibri" w:hAnsi="Calibri"/>
          <w:sz w:val="22"/>
          <w:szCs w:val="22"/>
        </w:rPr>
        <w:t xml:space="preserve">Interpretatie: het deelproject loopt </w:t>
      </w:r>
      <w:r>
        <w:rPr>
          <w:rFonts w:ascii="Calibri" w:cs="Calibri" w:eastAsia="Calibri" w:hAnsi="Calibri"/>
          <w:b/>
          <w:bCs/>
          <w:sz w:val="22"/>
          <w:szCs w:val="22"/>
        </w:rPr>
        <w:t xml:space="preserve">achter op schema</w:t>
      </w:r>
      <w:r>
        <w:rPr>
          <w:rFonts w:ascii="Calibri" w:cs="Calibri" w:eastAsia="Calibri" w:hAnsi="Calibri"/>
          <w:sz w:val="22"/>
          <w:szCs w:val="22"/>
        </w:rPr>
        <w:t xml:space="preserve"> (SPI onder 1 — er wordt ongeveer 83% van het geplande tempo gehaald), maar is </w:t>
      </w:r>
      <w:r>
        <w:rPr>
          <w:rFonts w:ascii="Calibri" w:cs="Calibri" w:eastAsia="Calibri" w:hAnsi="Calibri"/>
          <w:b/>
          <w:bCs/>
          <w:sz w:val="22"/>
          <w:szCs w:val="22"/>
        </w:rPr>
        <w:t xml:space="preserve">kostenefficiënt</w:t>
      </w:r>
      <w:r>
        <w:rPr>
          <w:rFonts w:ascii="Calibri" w:cs="Calibri" w:eastAsia="Calibri" w:hAnsi="Calibri"/>
          <w:sz w:val="22"/>
          <w:szCs w:val="22"/>
        </w:rPr>
        <w:t xml:space="preserve"> (CPI boven 1 — elke bestede euro levert ongeveer €1,07 aan geplande waarde op). Dit is een project dat trager gaat dan gepland, maar niet doordat er inefficiënt wordt gewerkt — eerder een teken dat er onvoldoende capaciteit is ingezet dan dat het werk duur is.</w:t>
      </w:r>
    </w:p>
    <w:p>
      <w:pPr>
        <w:pStyle w:val="Heading2"/>
        <w:spacing w:after="120" w:before="200"/>
      </w:pPr>
      <w:r>
        <w:rPr>
          <w:rFonts w:ascii="Georgia" w:cs="Georgia" w:eastAsia="Georgia" w:hAnsi="Georgia"/>
          <w:b/>
          <w:bCs/>
          <w:color w:val="2563A8"/>
          <w:sz w:val="28"/>
          <w:szCs w:val="28"/>
        </w:rPr>
        <w:t xml:space="preserve">Modelantwoord — Reflectievraag</w:t>
      </w:r>
    </w:p>
    <w:p>
      <w:pPr>
        <w:spacing w:after="140" w:line="300"/>
      </w:pPr>
      <w:r>
        <w:rPr>
          <w:rFonts w:ascii="Calibri" w:cs="Calibri" w:eastAsia="Calibri" w:hAnsi="Calibri"/>
          <w:sz w:val="22"/>
          <w:szCs w:val="22"/>
        </w:rPr>
        <w:t xml:space="preserve">Ze vullen elkaar aan, niet concurreren: PRINCE2 schrijft welke besturingsmomenten en documenten er moeten zijn (wát), IPMA-D/ICB4 levert de persoonlijke vaardigheden en rekentechnieken om die momenten inhoudelijk goed in te vullen (hóe). Voorbeeld: PRINCE2 vereist een Highlight Report met tolerantiestatus (deel 6), maar zegt niet hóe je die voortgang kwantitatief onderbouwt — IPMA-D's Earned Value Analysis (dit deel) geeft daar het rekeninstrument voor.</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"Is netwerkplanning hetzelfde als het Product Flow Diagram uit deel 4?"</w:t>
      </w:r>
      <w:r>
        <w:rPr>
          <w:rFonts w:ascii="Calibri" w:cs="Calibri" w:eastAsia="Calibri" w:hAnsi="Calibri"/>
          <w:sz w:val="22"/>
          <w:szCs w:val="22"/>
        </w:rPr>
        <w:t xml:space="preserve"> Verwant maar niet identiek: het PFD toont productafhankelijkheden zonder tijdsduur, netwerkplanning voegt doorlooptijden en speling toe om een concrete tijdlijn en kritiek pad te berekenen.</w:t>
      </w:r>
    </w:p>
    <w:p>
      <w:pPr>
        <w:pStyle w:val="ListParagraph"/>
        <w:numPr>
          <w:ilvl w:val="0"/>
          <w:numId w:val="1"/>
        </w:numPr>
        <w:spacing w:after="100" w:line="280"/>
      </w:pPr>
      <w:r>
        <w:rPr>
          <w:rFonts w:ascii="Calibri" w:cs="Calibri" w:eastAsia="Calibri" w:hAnsi="Calibri"/>
          <w:i/>
          <w:iCs/>
          <w:sz w:val="22"/>
          <w:szCs w:val="22"/>
        </w:rPr>
        <w:t xml:space="preserve">"Moet ik voor IPMA-D ook PRINCE2 kennen?"</w:t>
      </w:r>
      <w:r>
        <w:rPr>
          <w:rFonts w:ascii="Calibri" w:cs="Calibri" w:eastAsia="Calibri" w:hAnsi="Calibri"/>
          <w:sz w:val="22"/>
          <w:szCs w:val="22"/>
        </w:rPr>
        <w:t xml:space="preserve"> Nee, IPMA-D staat op zichzelf en is methode-onafhankelijk — maar omdat deze cursus beide combineert, versterken de twee elkaar juist goed.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9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2026-08-17T07:46:47.841Z</dcterms:created>
  <dcterms:modified xsi:type="dcterms:W3CDTF">2026-08-17T07:46:47.841Z</dcterms:modified>
</cp:coreProperties>
</file>

<file path=docProps/custom.xml><?xml version="1.0" encoding="utf-8"?>
<Properties xmlns="http://schemas.openxmlformats.org/officeDocument/2006/custom-properties" xmlns:vt="http://schemas.openxmlformats.org/officeDocument/2006/docPropsVTypes"/>
</file>